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BC" w:rsidRPr="00D9255B" w:rsidRDefault="00D04BC5">
      <w:pPr>
        <w:pStyle w:val="Otsikko1"/>
        <w:spacing w:before="65"/>
        <w:jc w:val="right"/>
        <w:rPr>
          <w:lang w:val="sv-SE"/>
        </w:rPr>
      </w:pPr>
      <w:r>
        <w:rPr>
          <w:noProof/>
          <w:lang w:val="fi-FI" w:eastAsia="fi-FI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737305</wp:posOffset>
            </wp:positionH>
            <wp:positionV relativeFrom="paragraph">
              <wp:posOffset>47490</wp:posOffset>
            </wp:positionV>
            <wp:extent cx="1330502" cy="4470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502" cy="447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255B">
        <w:rPr>
          <w:lang w:val="sv-SE"/>
        </w:rPr>
        <w:t>1 (1)</w:t>
      </w:r>
    </w:p>
    <w:p w:rsidR="000E5CBC" w:rsidRPr="00D9255B" w:rsidRDefault="000E5CBC">
      <w:pPr>
        <w:pStyle w:val="Leipteksti"/>
        <w:rPr>
          <w:sz w:val="24"/>
          <w:lang w:val="sv-SE"/>
        </w:rPr>
      </w:pPr>
    </w:p>
    <w:p w:rsidR="000E5CBC" w:rsidRPr="00D9255B" w:rsidRDefault="000E5CBC">
      <w:pPr>
        <w:pStyle w:val="Leipteksti"/>
        <w:rPr>
          <w:sz w:val="24"/>
          <w:lang w:val="sv-SE"/>
        </w:rPr>
      </w:pPr>
    </w:p>
    <w:p w:rsidR="000E5CBC" w:rsidRPr="00D9255B" w:rsidRDefault="000E5CBC">
      <w:pPr>
        <w:pStyle w:val="Leipteksti"/>
        <w:spacing w:before="6"/>
        <w:rPr>
          <w:sz w:val="30"/>
          <w:lang w:val="sv-SE"/>
        </w:rPr>
      </w:pPr>
    </w:p>
    <w:p w:rsidR="000E5CBC" w:rsidRPr="00D9255B" w:rsidRDefault="00D9255B">
      <w:pPr>
        <w:ind w:left="5270" w:right="3641"/>
        <w:jc w:val="center"/>
        <w:rPr>
          <w:lang w:val="sv-SE"/>
        </w:rPr>
      </w:pPr>
      <w:r>
        <w:rPr>
          <w:lang w:val="sv-SE"/>
        </w:rPr>
        <w:t>1</w:t>
      </w:r>
      <w:r w:rsidR="00DD5289">
        <w:rPr>
          <w:lang w:val="sv-SE"/>
        </w:rPr>
        <w:t>9</w:t>
      </w:r>
      <w:r>
        <w:rPr>
          <w:lang w:val="sv-SE"/>
        </w:rPr>
        <w:t>.8.2019</w:t>
      </w: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spacing w:before="11"/>
        <w:rPr>
          <w:sz w:val="29"/>
          <w:lang w:val="sv-SE"/>
        </w:rPr>
      </w:pPr>
      <w:bookmarkStart w:id="0" w:name="_GoBack"/>
      <w:bookmarkEnd w:id="0"/>
    </w:p>
    <w:p w:rsidR="000E5CBC" w:rsidRPr="00D9255B" w:rsidRDefault="00D04BC5" w:rsidP="00D9255B">
      <w:pPr>
        <w:spacing w:before="92"/>
        <w:jc w:val="both"/>
        <w:rPr>
          <w:b/>
          <w:sz w:val="24"/>
          <w:lang w:val="sv-SE"/>
        </w:rPr>
      </w:pPr>
      <w:r w:rsidRPr="00D9255B">
        <w:rPr>
          <w:b/>
          <w:sz w:val="24"/>
          <w:lang w:val="sv-SE"/>
        </w:rPr>
        <w:t>Tillägg till listan över utbytbara läkemedel 1.</w:t>
      </w:r>
      <w:r w:rsidR="00D9255B">
        <w:rPr>
          <w:b/>
          <w:sz w:val="24"/>
          <w:lang w:val="sv-SE"/>
        </w:rPr>
        <w:t>10</w:t>
      </w:r>
      <w:r w:rsidRPr="00D9255B">
        <w:rPr>
          <w:b/>
          <w:sz w:val="24"/>
          <w:lang w:val="sv-SE"/>
        </w:rPr>
        <w:t>.-</w:t>
      </w:r>
      <w:r w:rsidR="00D9255B">
        <w:rPr>
          <w:b/>
          <w:sz w:val="24"/>
          <w:lang w:val="sv-SE"/>
        </w:rPr>
        <w:t>31.12.2019</w:t>
      </w:r>
    </w:p>
    <w:p w:rsidR="000E5CBC" w:rsidRPr="00D9255B" w:rsidRDefault="000E5CBC">
      <w:pPr>
        <w:pStyle w:val="Leipteksti"/>
        <w:spacing w:before="1"/>
        <w:rPr>
          <w:b/>
          <w:sz w:val="24"/>
          <w:lang w:val="sv-SE"/>
        </w:rPr>
      </w:pPr>
    </w:p>
    <w:p w:rsidR="000E5CBC" w:rsidRPr="00D9255B" w:rsidRDefault="00D04BC5" w:rsidP="00D9255B">
      <w:pPr>
        <w:pStyle w:val="Leipteksti"/>
        <w:ind w:right="926"/>
        <w:rPr>
          <w:sz w:val="22"/>
          <w:lang w:val="sv-SE"/>
        </w:rPr>
      </w:pPr>
      <w:r w:rsidRPr="00D9255B">
        <w:rPr>
          <w:sz w:val="22"/>
          <w:lang w:val="sv-SE"/>
        </w:rPr>
        <w:t xml:space="preserve">Säkerhets- och utvecklingscentret för läkemedelsområdets förteckning över utbytbara läkemedel har </w:t>
      </w:r>
      <w:r w:rsidR="00DC5F31">
        <w:rPr>
          <w:sz w:val="22"/>
          <w:lang w:val="sv-SE"/>
        </w:rPr>
        <w:t>utökats med</w:t>
      </w:r>
      <w:r w:rsidRPr="00D9255B">
        <w:rPr>
          <w:sz w:val="22"/>
          <w:lang w:val="sv-SE"/>
        </w:rPr>
        <w:t xml:space="preserve"> följande läkemedel:</w:t>
      </w:r>
    </w:p>
    <w:p w:rsidR="000E5CBC" w:rsidRPr="00D9255B" w:rsidRDefault="000E5CBC">
      <w:pPr>
        <w:pStyle w:val="Leipteksti"/>
        <w:rPr>
          <w:lang w:val="sv-SE"/>
        </w:rPr>
      </w:pPr>
    </w:p>
    <w:p w:rsidR="006B7450" w:rsidRDefault="006B7450" w:rsidP="00D9255B">
      <w:pPr>
        <w:pStyle w:val="Defaul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på sidan 22 till </w:t>
      </w:r>
      <w:proofErr w:type="spellStart"/>
      <w:r>
        <w:rPr>
          <w:sz w:val="22"/>
          <w:szCs w:val="22"/>
          <w:lang w:val="sv-SE"/>
        </w:rPr>
        <w:t>atc</w:t>
      </w:r>
      <w:proofErr w:type="spellEnd"/>
      <w:r>
        <w:rPr>
          <w:sz w:val="22"/>
          <w:szCs w:val="22"/>
          <w:lang w:val="sv-SE"/>
        </w:rPr>
        <w:t xml:space="preserve">-gruppen B03XA01 </w:t>
      </w:r>
      <w:proofErr w:type="spellStart"/>
      <w:r>
        <w:rPr>
          <w:sz w:val="22"/>
          <w:szCs w:val="22"/>
          <w:lang w:val="sv-SE"/>
        </w:rPr>
        <w:t>epoetin</w:t>
      </w:r>
      <w:proofErr w:type="spellEnd"/>
    </w:p>
    <w:p w:rsidR="006B7450" w:rsidRDefault="006B7450" w:rsidP="00D9255B">
      <w:pPr>
        <w:pStyle w:val="Defaul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1363 </w:t>
      </w:r>
      <w:proofErr w:type="spellStart"/>
      <w:r>
        <w:rPr>
          <w:sz w:val="22"/>
          <w:szCs w:val="22"/>
          <w:lang w:val="sv-SE"/>
        </w:rPr>
        <w:t>Neorecormon</w:t>
      </w:r>
      <w:proofErr w:type="spellEnd"/>
      <w:r>
        <w:rPr>
          <w:sz w:val="22"/>
          <w:szCs w:val="22"/>
          <w:lang w:val="sv-SE"/>
        </w:rPr>
        <w:t xml:space="preserve"> 3000 IU injektionsvätska, lösning EU/1/97/031</w:t>
      </w:r>
    </w:p>
    <w:p w:rsidR="006B7450" w:rsidRDefault="006B7450" w:rsidP="00D9255B">
      <w:pPr>
        <w:pStyle w:val="Default"/>
        <w:rPr>
          <w:sz w:val="22"/>
          <w:szCs w:val="22"/>
          <w:lang w:val="sv-SE"/>
        </w:rPr>
      </w:pPr>
    </w:p>
    <w:p w:rsidR="006B7450" w:rsidRDefault="006B7450" w:rsidP="00D9255B">
      <w:pPr>
        <w:pStyle w:val="Defaul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på sidan 97 till </w:t>
      </w:r>
      <w:proofErr w:type="spellStart"/>
      <w:r>
        <w:rPr>
          <w:sz w:val="22"/>
          <w:szCs w:val="22"/>
          <w:lang w:val="sv-SE"/>
        </w:rPr>
        <w:t>atc</w:t>
      </w:r>
      <w:proofErr w:type="spellEnd"/>
      <w:r>
        <w:rPr>
          <w:sz w:val="22"/>
          <w:szCs w:val="22"/>
          <w:lang w:val="sv-SE"/>
        </w:rPr>
        <w:t xml:space="preserve">-gruppen J05AG01 </w:t>
      </w:r>
      <w:proofErr w:type="spellStart"/>
      <w:r>
        <w:rPr>
          <w:sz w:val="22"/>
          <w:szCs w:val="22"/>
          <w:lang w:val="sv-SE"/>
        </w:rPr>
        <w:t>nevirapin</w:t>
      </w:r>
      <w:proofErr w:type="spellEnd"/>
    </w:p>
    <w:p w:rsidR="006B7450" w:rsidRDefault="006B7450" w:rsidP="00D9255B">
      <w:pPr>
        <w:pStyle w:val="Defaul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1431 </w:t>
      </w:r>
      <w:proofErr w:type="spellStart"/>
      <w:r>
        <w:rPr>
          <w:sz w:val="22"/>
          <w:szCs w:val="22"/>
          <w:lang w:val="sv-SE"/>
        </w:rPr>
        <w:t>Viramune</w:t>
      </w:r>
      <w:proofErr w:type="spellEnd"/>
      <w:r>
        <w:rPr>
          <w:sz w:val="22"/>
          <w:szCs w:val="22"/>
          <w:lang w:val="sv-SE"/>
        </w:rPr>
        <w:t xml:space="preserve"> 400 mg </w:t>
      </w:r>
      <w:proofErr w:type="spellStart"/>
      <w:r>
        <w:rPr>
          <w:sz w:val="22"/>
          <w:szCs w:val="22"/>
          <w:lang w:val="sv-SE"/>
        </w:rPr>
        <w:t>depottablet</w:t>
      </w:r>
      <w:proofErr w:type="spellEnd"/>
      <w:r>
        <w:rPr>
          <w:sz w:val="22"/>
          <w:szCs w:val="22"/>
          <w:lang w:val="sv-SE"/>
        </w:rPr>
        <w:t xml:space="preserve"> </w:t>
      </w:r>
      <w:proofErr w:type="spellStart"/>
      <w:r>
        <w:rPr>
          <w:sz w:val="22"/>
          <w:szCs w:val="22"/>
          <w:lang w:val="sv-SE"/>
        </w:rPr>
        <w:t>Orifarm</w:t>
      </w:r>
      <w:proofErr w:type="spellEnd"/>
      <w:r>
        <w:rPr>
          <w:sz w:val="22"/>
          <w:szCs w:val="22"/>
          <w:lang w:val="sv-SE"/>
        </w:rPr>
        <w:t xml:space="preserve"> EU/1/97/055</w:t>
      </w:r>
    </w:p>
    <w:p w:rsidR="006B7450" w:rsidRDefault="006B7450" w:rsidP="00D9255B">
      <w:pPr>
        <w:pStyle w:val="Default"/>
        <w:rPr>
          <w:sz w:val="22"/>
          <w:szCs w:val="22"/>
          <w:lang w:val="sv-SE"/>
        </w:rPr>
      </w:pPr>
    </w:p>
    <w:p w:rsidR="00D9255B" w:rsidRDefault="00512A16" w:rsidP="00D9255B">
      <w:pPr>
        <w:pStyle w:val="Default"/>
        <w:rPr>
          <w:sz w:val="22"/>
          <w:szCs w:val="22"/>
          <w:lang w:val="sv-SE"/>
        </w:rPr>
      </w:pPr>
      <w:r w:rsidRPr="00512A16">
        <w:rPr>
          <w:sz w:val="22"/>
          <w:szCs w:val="22"/>
          <w:lang w:val="sv-SE"/>
        </w:rPr>
        <w:t>på</w:t>
      </w:r>
      <w:r>
        <w:rPr>
          <w:sz w:val="22"/>
          <w:szCs w:val="22"/>
          <w:lang w:val="sv-SE"/>
        </w:rPr>
        <w:t xml:space="preserve"> sidan 104 till </w:t>
      </w:r>
      <w:proofErr w:type="spellStart"/>
      <w:r>
        <w:rPr>
          <w:sz w:val="22"/>
          <w:szCs w:val="22"/>
          <w:lang w:val="sv-SE"/>
        </w:rPr>
        <w:t>atc</w:t>
      </w:r>
      <w:proofErr w:type="spellEnd"/>
      <w:r>
        <w:rPr>
          <w:sz w:val="22"/>
          <w:szCs w:val="22"/>
          <w:lang w:val="sv-SE"/>
        </w:rPr>
        <w:t xml:space="preserve">-gruppen L01AC01 </w:t>
      </w:r>
      <w:proofErr w:type="spellStart"/>
      <w:r>
        <w:rPr>
          <w:sz w:val="22"/>
          <w:szCs w:val="22"/>
          <w:lang w:val="sv-SE"/>
        </w:rPr>
        <w:t>tiotepa</w:t>
      </w:r>
      <w:proofErr w:type="spellEnd"/>
      <w:r>
        <w:rPr>
          <w:sz w:val="22"/>
          <w:szCs w:val="22"/>
          <w:lang w:val="sv-SE"/>
        </w:rPr>
        <w:br/>
        <w:t xml:space="preserve">2270 </w:t>
      </w:r>
      <w:proofErr w:type="spellStart"/>
      <w:r>
        <w:rPr>
          <w:sz w:val="22"/>
          <w:szCs w:val="22"/>
          <w:lang w:val="sv-SE"/>
        </w:rPr>
        <w:t>Tepadina</w:t>
      </w:r>
      <w:proofErr w:type="spellEnd"/>
      <w:r>
        <w:rPr>
          <w:sz w:val="22"/>
          <w:szCs w:val="22"/>
          <w:lang w:val="sv-SE"/>
        </w:rPr>
        <w:t xml:space="preserve"> 15 mg pulver till koncentrat till infusionsvätska, lösning </w:t>
      </w:r>
      <w:proofErr w:type="spellStart"/>
      <w:r>
        <w:rPr>
          <w:sz w:val="22"/>
          <w:szCs w:val="22"/>
          <w:lang w:val="sv-SE"/>
        </w:rPr>
        <w:t>Adienne</w:t>
      </w:r>
      <w:proofErr w:type="spellEnd"/>
      <w:r>
        <w:rPr>
          <w:sz w:val="22"/>
          <w:szCs w:val="22"/>
          <w:lang w:val="sv-SE"/>
        </w:rPr>
        <w:t xml:space="preserve"> EU/1/10/622</w:t>
      </w:r>
      <w:r w:rsidRPr="00512A16">
        <w:rPr>
          <w:sz w:val="22"/>
          <w:szCs w:val="22"/>
          <w:lang w:val="sv-SE"/>
        </w:rPr>
        <w:t xml:space="preserve"> </w:t>
      </w:r>
      <w:r w:rsidR="00D9255B" w:rsidRPr="00512A16">
        <w:rPr>
          <w:sz w:val="22"/>
          <w:szCs w:val="22"/>
          <w:lang w:val="sv-SE"/>
        </w:rPr>
        <w:t xml:space="preserve">  </w:t>
      </w:r>
      <w:r>
        <w:rPr>
          <w:sz w:val="22"/>
          <w:szCs w:val="22"/>
          <w:lang w:val="sv-SE"/>
        </w:rPr>
        <w:br/>
        <w:t xml:space="preserve">2270 </w:t>
      </w:r>
      <w:proofErr w:type="spellStart"/>
      <w:r>
        <w:rPr>
          <w:sz w:val="22"/>
          <w:szCs w:val="22"/>
          <w:lang w:val="sv-SE"/>
        </w:rPr>
        <w:t>Tepadina</w:t>
      </w:r>
      <w:proofErr w:type="spellEnd"/>
      <w:r>
        <w:rPr>
          <w:sz w:val="22"/>
          <w:szCs w:val="22"/>
          <w:lang w:val="sv-SE"/>
        </w:rPr>
        <w:t xml:space="preserve"> 15 mg pulver till koncentrat till infusionsvätska, lösning </w:t>
      </w:r>
      <w:proofErr w:type="spellStart"/>
      <w:r>
        <w:rPr>
          <w:sz w:val="22"/>
          <w:szCs w:val="22"/>
          <w:lang w:val="sv-SE"/>
        </w:rPr>
        <w:t>Orifarm</w:t>
      </w:r>
      <w:proofErr w:type="spellEnd"/>
      <w:r>
        <w:rPr>
          <w:sz w:val="22"/>
          <w:szCs w:val="22"/>
          <w:lang w:val="sv-SE"/>
        </w:rPr>
        <w:t xml:space="preserve"> EU/1/10/622</w:t>
      </w:r>
    </w:p>
    <w:p w:rsidR="00512A16" w:rsidRDefault="00512A16" w:rsidP="00D9255B">
      <w:pPr>
        <w:pStyle w:val="Default"/>
        <w:rPr>
          <w:sz w:val="22"/>
          <w:szCs w:val="22"/>
          <w:lang w:val="sv-SE"/>
        </w:rPr>
      </w:pPr>
    </w:p>
    <w:p w:rsidR="00512A16" w:rsidRDefault="00512A16" w:rsidP="00D9255B">
      <w:pPr>
        <w:pStyle w:val="Defaul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på sidan 121 till </w:t>
      </w:r>
      <w:proofErr w:type="spellStart"/>
      <w:r>
        <w:rPr>
          <w:sz w:val="22"/>
          <w:szCs w:val="22"/>
          <w:lang w:val="sv-SE"/>
        </w:rPr>
        <w:t>atc</w:t>
      </w:r>
      <w:proofErr w:type="spellEnd"/>
      <w:r>
        <w:rPr>
          <w:sz w:val="22"/>
          <w:szCs w:val="22"/>
          <w:lang w:val="sv-SE"/>
        </w:rPr>
        <w:t xml:space="preserve">-gruppen L01XX17 </w:t>
      </w:r>
      <w:proofErr w:type="spellStart"/>
      <w:r>
        <w:rPr>
          <w:sz w:val="22"/>
          <w:szCs w:val="22"/>
          <w:lang w:val="sv-SE"/>
        </w:rPr>
        <w:t>topotekan</w:t>
      </w:r>
      <w:proofErr w:type="spellEnd"/>
      <w:r>
        <w:rPr>
          <w:sz w:val="22"/>
          <w:szCs w:val="22"/>
          <w:lang w:val="sv-SE"/>
        </w:rPr>
        <w:br/>
        <w:t xml:space="preserve">1376 </w:t>
      </w:r>
      <w:proofErr w:type="spellStart"/>
      <w:r>
        <w:rPr>
          <w:sz w:val="22"/>
          <w:szCs w:val="22"/>
          <w:lang w:val="sv-SE"/>
        </w:rPr>
        <w:t>Hycamtin</w:t>
      </w:r>
      <w:proofErr w:type="spellEnd"/>
      <w:r>
        <w:rPr>
          <w:sz w:val="22"/>
          <w:szCs w:val="22"/>
          <w:lang w:val="sv-SE"/>
        </w:rPr>
        <w:t xml:space="preserve"> 1 mg kapsel, hård </w:t>
      </w:r>
      <w:proofErr w:type="spellStart"/>
      <w:r>
        <w:rPr>
          <w:sz w:val="22"/>
          <w:szCs w:val="22"/>
          <w:lang w:val="sv-SE"/>
        </w:rPr>
        <w:t>Orifarm</w:t>
      </w:r>
      <w:proofErr w:type="spellEnd"/>
      <w:r>
        <w:rPr>
          <w:sz w:val="22"/>
          <w:szCs w:val="22"/>
          <w:lang w:val="sv-SE"/>
        </w:rPr>
        <w:t xml:space="preserve"> EU/1/96/027</w:t>
      </w:r>
    </w:p>
    <w:p w:rsidR="00EF0E51" w:rsidRDefault="00EF0E51" w:rsidP="00D9255B">
      <w:pPr>
        <w:pStyle w:val="Default"/>
        <w:rPr>
          <w:sz w:val="22"/>
          <w:szCs w:val="22"/>
          <w:lang w:val="sv-SE"/>
        </w:rPr>
      </w:pPr>
    </w:p>
    <w:p w:rsidR="00512A16" w:rsidRDefault="00EF0E51" w:rsidP="00402DA7">
      <w:pPr>
        <w:pStyle w:val="Defaul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på sidan 123 till </w:t>
      </w:r>
      <w:proofErr w:type="spellStart"/>
      <w:r>
        <w:rPr>
          <w:sz w:val="22"/>
          <w:szCs w:val="22"/>
          <w:lang w:val="sv-SE"/>
        </w:rPr>
        <w:t>atc</w:t>
      </w:r>
      <w:proofErr w:type="spellEnd"/>
      <w:r>
        <w:rPr>
          <w:sz w:val="22"/>
          <w:szCs w:val="22"/>
          <w:lang w:val="sv-SE"/>
        </w:rPr>
        <w:t xml:space="preserve">-gruppen L01XX44 </w:t>
      </w:r>
      <w:proofErr w:type="spellStart"/>
      <w:r>
        <w:rPr>
          <w:sz w:val="22"/>
          <w:szCs w:val="22"/>
          <w:lang w:val="sv-SE"/>
        </w:rPr>
        <w:t>aflibercept</w:t>
      </w:r>
      <w:proofErr w:type="spellEnd"/>
      <w:r>
        <w:rPr>
          <w:sz w:val="22"/>
          <w:szCs w:val="22"/>
          <w:lang w:val="sv-SE"/>
        </w:rPr>
        <w:br/>
        <w:t xml:space="preserve">2257 </w:t>
      </w:r>
      <w:proofErr w:type="spellStart"/>
      <w:r>
        <w:rPr>
          <w:sz w:val="22"/>
          <w:szCs w:val="22"/>
          <w:lang w:val="sv-SE"/>
        </w:rPr>
        <w:t>Zaltrap</w:t>
      </w:r>
      <w:proofErr w:type="spellEnd"/>
      <w:r>
        <w:rPr>
          <w:sz w:val="22"/>
          <w:szCs w:val="22"/>
          <w:lang w:val="sv-SE"/>
        </w:rPr>
        <w:t xml:space="preserve"> 25 mg/ml koncentrat till infusionsvätska, lösning</w:t>
      </w:r>
      <w:r w:rsidR="00402DA7">
        <w:rPr>
          <w:sz w:val="22"/>
          <w:szCs w:val="22"/>
          <w:lang w:val="sv-SE"/>
        </w:rPr>
        <w:t xml:space="preserve"> </w:t>
      </w:r>
      <w:proofErr w:type="spellStart"/>
      <w:r w:rsidR="00402DA7">
        <w:rPr>
          <w:sz w:val="22"/>
          <w:szCs w:val="22"/>
          <w:lang w:val="sv-SE"/>
        </w:rPr>
        <w:t>Orifarm</w:t>
      </w:r>
      <w:proofErr w:type="spellEnd"/>
      <w:r w:rsidR="00402DA7">
        <w:rPr>
          <w:sz w:val="22"/>
          <w:szCs w:val="22"/>
          <w:lang w:val="sv-SE"/>
        </w:rPr>
        <w:t xml:space="preserve"> EU/1/12/814</w:t>
      </w:r>
    </w:p>
    <w:p w:rsidR="00512A16" w:rsidRDefault="00512A16" w:rsidP="00D9255B">
      <w:pPr>
        <w:pStyle w:val="Leipteksti"/>
        <w:rPr>
          <w:sz w:val="22"/>
          <w:szCs w:val="22"/>
          <w:lang w:val="sv-SE"/>
        </w:rPr>
      </w:pPr>
    </w:p>
    <w:p w:rsidR="000E5CBC" w:rsidRDefault="00D9255B" w:rsidP="00D9255B">
      <w:pPr>
        <w:pStyle w:val="Leipteksti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på sidan 132 t</w:t>
      </w:r>
      <w:r w:rsidRPr="00D9255B">
        <w:rPr>
          <w:sz w:val="22"/>
          <w:szCs w:val="22"/>
          <w:lang w:val="sv-SE"/>
        </w:rPr>
        <w:t xml:space="preserve">ill </w:t>
      </w:r>
      <w:proofErr w:type="spellStart"/>
      <w:r w:rsidRPr="00D9255B">
        <w:rPr>
          <w:sz w:val="22"/>
          <w:szCs w:val="22"/>
          <w:lang w:val="sv-SE"/>
        </w:rPr>
        <w:t>atc</w:t>
      </w:r>
      <w:proofErr w:type="spellEnd"/>
      <w:r w:rsidRPr="00D9255B">
        <w:rPr>
          <w:sz w:val="22"/>
          <w:szCs w:val="22"/>
          <w:lang w:val="sv-SE"/>
        </w:rPr>
        <w:t xml:space="preserve">-gruppen </w:t>
      </w:r>
      <w:r>
        <w:rPr>
          <w:sz w:val="22"/>
          <w:szCs w:val="22"/>
          <w:lang w:val="sv-SE"/>
        </w:rPr>
        <w:t xml:space="preserve">L04AX07 </w:t>
      </w:r>
      <w:proofErr w:type="spellStart"/>
      <w:r>
        <w:rPr>
          <w:sz w:val="22"/>
          <w:szCs w:val="22"/>
          <w:lang w:val="sv-SE"/>
        </w:rPr>
        <w:t>dimetylfumarat</w:t>
      </w:r>
      <w:proofErr w:type="spellEnd"/>
    </w:p>
    <w:p w:rsidR="00D9255B" w:rsidRPr="00D9255B" w:rsidRDefault="00D9255B" w:rsidP="00D9255B">
      <w:pPr>
        <w:pStyle w:val="Leipteksti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2269 </w:t>
      </w:r>
      <w:proofErr w:type="spellStart"/>
      <w:r>
        <w:rPr>
          <w:sz w:val="22"/>
          <w:szCs w:val="22"/>
          <w:lang w:val="sv-SE"/>
        </w:rPr>
        <w:t>Tecfidera</w:t>
      </w:r>
      <w:proofErr w:type="spellEnd"/>
      <w:r>
        <w:rPr>
          <w:sz w:val="22"/>
          <w:szCs w:val="22"/>
          <w:lang w:val="sv-SE"/>
        </w:rPr>
        <w:t xml:space="preserve"> 120 mg </w:t>
      </w:r>
      <w:proofErr w:type="spellStart"/>
      <w:r w:rsidR="00512A16">
        <w:rPr>
          <w:sz w:val="22"/>
          <w:szCs w:val="22"/>
          <w:lang w:val="sv-SE"/>
        </w:rPr>
        <w:t>enterokapsel</w:t>
      </w:r>
      <w:proofErr w:type="spellEnd"/>
      <w:r w:rsidR="00512A16">
        <w:rPr>
          <w:sz w:val="22"/>
          <w:szCs w:val="22"/>
          <w:lang w:val="sv-SE"/>
        </w:rPr>
        <w:t xml:space="preserve">, hård Biogen </w:t>
      </w:r>
      <w:proofErr w:type="spellStart"/>
      <w:r w:rsidR="00512A16">
        <w:rPr>
          <w:sz w:val="22"/>
          <w:szCs w:val="22"/>
          <w:lang w:val="sv-SE"/>
        </w:rPr>
        <w:t>Netherland</w:t>
      </w:r>
      <w:proofErr w:type="spellEnd"/>
      <w:r w:rsidR="00512A16">
        <w:rPr>
          <w:sz w:val="22"/>
          <w:szCs w:val="22"/>
          <w:lang w:val="sv-SE"/>
        </w:rPr>
        <w:t xml:space="preserve"> EU/1/13/837/</w:t>
      </w:r>
      <w:r w:rsidR="00512A16">
        <w:rPr>
          <w:sz w:val="22"/>
          <w:szCs w:val="22"/>
          <w:lang w:val="sv-SE"/>
        </w:rPr>
        <w:br/>
        <w:t xml:space="preserve">2269 </w:t>
      </w:r>
      <w:proofErr w:type="spellStart"/>
      <w:r w:rsidR="00512A16">
        <w:rPr>
          <w:sz w:val="22"/>
          <w:szCs w:val="22"/>
          <w:lang w:val="sv-SE"/>
        </w:rPr>
        <w:t>Tecfidera</w:t>
      </w:r>
      <w:proofErr w:type="spellEnd"/>
      <w:r w:rsidR="00512A16">
        <w:rPr>
          <w:sz w:val="22"/>
          <w:szCs w:val="22"/>
          <w:lang w:val="sv-SE"/>
        </w:rPr>
        <w:t xml:space="preserve"> 120 mg </w:t>
      </w:r>
      <w:proofErr w:type="spellStart"/>
      <w:r w:rsidR="00512A16">
        <w:rPr>
          <w:sz w:val="22"/>
          <w:szCs w:val="22"/>
          <w:lang w:val="sv-SE"/>
        </w:rPr>
        <w:t>enterokapseli</w:t>
      </w:r>
      <w:proofErr w:type="spellEnd"/>
      <w:r w:rsidR="00512A16">
        <w:rPr>
          <w:sz w:val="22"/>
          <w:szCs w:val="22"/>
          <w:lang w:val="sv-SE"/>
        </w:rPr>
        <w:t xml:space="preserve">, hård </w:t>
      </w:r>
      <w:proofErr w:type="spellStart"/>
      <w:r w:rsidR="00512A16">
        <w:rPr>
          <w:sz w:val="22"/>
          <w:szCs w:val="22"/>
          <w:lang w:val="sv-SE"/>
        </w:rPr>
        <w:t>Abacus</w:t>
      </w:r>
      <w:proofErr w:type="spellEnd"/>
      <w:r w:rsidR="00512A16">
        <w:rPr>
          <w:sz w:val="22"/>
          <w:szCs w:val="22"/>
          <w:lang w:val="sv-SE"/>
        </w:rPr>
        <w:t xml:space="preserve"> EU/1/13/837/</w:t>
      </w:r>
    </w:p>
    <w:p w:rsidR="000E5CBC" w:rsidRPr="00D9255B" w:rsidRDefault="000E5CBC">
      <w:pPr>
        <w:pStyle w:val="Leipteksti"/>
        <w:rPr>
          <w:sz w:val="22"/>
          <w:szCs w:val="22"/>
          <w:lang w:val="sv-SE"/>
        </w:rPr>
      </w:pPr>
    </w:p>
    <w:p w:rsidR="000E5CBC" w:rsidRPr="00D9255B" w:rsidRDefault="000E5CBC">
      <w:pPr>
        <w:pStyle w:val="Leipteksti"/>
        <w:rPr>
          <w:sz w:val="22"/>
          <w:szCs w:val="22"/>
          <w:lang w:val="sv-SE"/>
        </w:rPr>
      </w:pPr>
    </w:p>
    <w:p w:rsidR="000E5CBC" w:rsidRPr="00D9255B" w:rsidRDefault="000E5CBC">
      <w:pPr>
        <w:pStyle w:val="Leipteksti"/>
        <w:rPr>
          <w:sz w:val="22"/>
          <w:szCs w:val="22"/>
          <w:lang w:val="sv-SE"/>
        </w:rPr>
      </w:pPr>
    </w:p>
    <w:p w:rsidR="000E5CBC" w:rsidRPr="00D9255B" w:rsidRDefault="000E5CBC">
      <w:pPr>
        <w:pStyle w:val="Leipteksti"/>
        <w:rPr>
          <w:sz w:val="22"/>
          <w:szCs w:val="22"/>
          <w:lang w:val="sv-SE"/>
        </w:rPr>
      </w:pPr>
    </w:p>
    <w:p w:rsidR="000E5CBC" w:rsidRPr="00D9255B" w:rsidRDefault="000E5CBC">
      <w:pPr>
        <w:pStyle w:val="Leipteksti"/>
        <w:rPr>
          <w:sz w:val="22"/>
          <w:szCs w:val="22"/>
          <w:lang w:val="sv-SE"/>
        </w:rPr>
      </w:pPr>
    </w:p>
    <w:p w:rsidR="000E5CBC" w:rsidRPr="00D9255B" w:rsidRDefault="000E5CBC">
      <w:pPr>
        <w:pStyle w:val="Leipteksti"/>
        <w:rPr>
          <w:sz w:val="22"/>
          <w:szCs w:val="22"/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rPr>
          <w:lang w:val="sv-SE"/>
        </w:rPr>
      </w:pPr>
    </w:p>
    <w:p w:rsidR="000E5CBC" w:rsidRPr="00D9255B" w:rsidRDefault="000E5CBC">
      <w:pPr>
        <w:pStyle w:val="Leipteksti"/>
        <w:spacing w:before="9"/>
        <w:rPr>
          <w:lang w:val="sv-SE"/>
        </w:rPr>
      </w:pPr>
    </w:p>
    <w:p w:rsidR="000E5CBC" w:rsidRPr="00D9255B" w:rsidRDefault="00D04BC5">
      <w:pPr>
        <w:spacing w:before="1" w:line="336" w:lineRule="auto"/>
        <w:ind w:left="112" w:right="165"/>
        <w:rPr>
          <w:sz w:val="16"/>
          <w:lang w:val="sv-SE"/>
        </w:rPr>
      </w:pPr>
      <w:proofErr w:type="spellStart"/>
      <w:r w:rsidRPr="00D9255B">
        <w:rPr>
          <w:color w:val="5E6A71"/>
          <w:sz w:val="16"/>
          <w:lang w:val="sv-SE"/>
        </w:rPr>
        <w:t>Lääkealan</w:t>
      </w:r>
      <w:proofErr w:type="spellEnd"/>
      <w:r w:rsidRPr="00D9255B">
        <w:rPr>
          <w:color w:val="5E6A71"/>
          <w:sz w:val="16"/>
          <w:lang w:val="sv-SE"/>
        </w:rPr>
        <w:t xml:space="preserve"> </w:t>
      </w:r>
      <w:proofErr w:type="spellStart"/>
      <w:r w:rsidRPr="00D9255B">
        <w:rPr>
          <w:color w:val="5E6A71"/>
          <w:sz w:val="16"/>
          <w:lang w:val="sv-SE"/>
        </w:rPr>
        <w:t>turvallisuus</w:t>
      </w:r>
      <w:proofErr w:type="spellEnd"/>
      <w:r w:rsidRPr="00D9255B">
        <w:rPr>
          <w:color w:val="5E6A71"/>
          <w:sz w:val="16"/>
          <w:lang w:val="sv-SE"/>
        </w:rPr>
        <w:t xml:space="preserve">- ja </w:t>
      </w:r>
      <w:proofErr w:type="spellStart"/>
      <w:r w:rsidRPr="00D9255B">
        <w:rPr>
          <w:color w:val="5E6A71"/>
          <w:sz w:val="16"/>
          <w:lang w:val="sv-SE"/>
        </w:rPr>
        <w:t>kehittämiskeskus</w:t>
      </w:r>
      <w:proofErr w:type="spellEnd"/>
      <w:r w:rsidRPr="00D9255B">
        <w:rPr>
          <w:color w:val="5E6A71"/>
          <w:sz w:val="16"/>
          <w:lang w:val="sv-SE"/>
        </w:rPr>
        <w:t xml:space="preserve">  |  Säkerhets- och utvecklingscentret för läkemedelsområdet  |  </w:t>
      </w:r>
      <w:proofErr w:type="spellStart"/>
      <w:r w:rsidRPr="00D9255B">
        <w:rPr>
          <w:color w:val="5E6A71"/>
          <w:sz w:val="16"/>
          <w:lang w:val="sv-SE"/>
        </w:rPr>
        <w:t>Finnish</w:t>
      </w:r>
      <w:proofErr w:type="spellEnd"/>
      <w:r w:rsidRPr="00D9255B">
        <w:rPr>
          <w:color w:val="5E6A71"/>
          <w:sz w:val="16"/>
          <w:lang w:val="sv-SE"/>
        </w:rPr>
        <w:t xml:space="preserve"> </w:t>
      </w:r>
      <w:proofErr w:type="spellStart"/>
      <w:r w:rsidRPr="00D9255B">
        <w:rPr>
          <w:color w:val="5E6A71"/>
          <w:sz w:val="16"/>
          <w:lang w:val="sv-SE"/>
        </w:rPr>
        <w:t>Medicines</w:t>
      </w:r>
      <w:proofErr w:type="spellEnd"/>
      <w:r w:rsidRPr="00D9255B">
        <w:rPr>
          <w:color w:val="5E6A71"/>
          <w:sz w:val="16"/>
          <w:lang w:val="sv-SE"/>
        </w:rPr>
        <w:t xml:space="preserve"> Agency  PB 55, 00034 FIMEA  |    </w:t>
      </w:r>
      <w:r w:rsidRPr="00D9255B">
        <w:rPr>
          <w:sz w:val="16"/>
          <w:lang w:val="sv-SE"/>
        </w:rPr>
        <w:t xml:space="preserve">Tfn 029 522 3341  |  </w:t>
      </w:r>
      <w:hyperlink r:id="rId5">
        <w:r w:rsidRPr="00D9255B">
          <w:rPr>
            <w:sz w:val="16"/>
            <w:lang w:val="sv-SE"/>
          </w:rPr>
          <w:t>kirjaamo@fimea.fi</w:t>
        </w:r>
      </w:hyperlink>
      <w:r w:rsidRPr="00D9255B">
        <w:rPr>
          <w:sz w:val="16"/>
          <w:lang w:val="sv-SE"/>
        </w:rPr>
        <w:t xml:space="preserve">  | </w:t>
      </w:r>
      <w:hyperlink r:id="rId6">
        <w:r w:rsidRPr="00D9255B">
          <w:rPr>
            <w:sz w:val="16"/>
            <w:lang w:val="sv-SE"/>
          </w:rPr>
          <w:t>www.fimea.fi</w:t>
        </w:r>
      </w:hyperlink>
      <w:r w:rsidRPr="00D9255B">
        <w:rPr>
          <w:sz w:val="16"/>
          <w:lang w:val="sv-SE"/>
        </w:rPr>
        <w:t xml:space="preserve">    |  FO-nummer</w:t>
      </w:r>
      <w:r w:rsidRPr="00D9255B">
        <w:rPr>
          <w:spacing w:val="5"/>
          <w:sz w:val="16"/>
          <w:lang w:val="sv-SE"/>
        </w:rPr>
        <w:t xml:space="preserve"> </w:t>
      </w:r>
      <w:r w:rsidRPr="00D9255B">
        <w:rPr>
          <w:sz w:val="16"/>
          <w:lang w:val="sv-SE"/>
        </w:rPr>
        <w:t>0921536-6</w:t>
      </w:r>
    </w:p>
    <w:sectPr w:rsidR="000E5CBC" w:rsidRPr="00D9255B">
      <w:type w:val="continuous"/>
      <w:pgSz w:w="11910" w:h="16840"/>
      <w:pgMar w:top="480" w:right="9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E5CBC"/>
    <w:rsid w:val="000E5CBC"/>
    <w:rsid w:val="00261166"/>
    <w:rsid w:val="00402DA7"/>
    <w:rsid w:val="00512A16"/>
    <w:rsid w:val="006B7450"/>
    <w:rsid w:val="00D04BC5"/>
    <w:rsid w:val="00D9255B"/>
    <w:rsid w:val="00DC5F31"/>
    <w:rsid w:val="00DD5289"/>
    <w:rsid w:val="00E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3FED"/>
  <w15:docId w15:val="{B50A1481-580D-4CB0-A6C4-B6F5D0F2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  <w:rPr>
      <w:rFonts w:ascii="Arial" w:eastAsia="Arial" w:hAnsi="Arial" w:cs="Arial"/>
    </w:rPr>
  </w:style>
  <w:style w:type="paragraph" w:styleId="Otsikko1">
    <w:name w:val="heading 1"/>
    <w:basedOn w:val="Normaali"/>
    <w:uiPriority w:val="1"/>
    <w:qFormat/>
    <w:pPr>
      <w:ind w:right="229"/>
      <w:jc w:val="center"/>
      <w:outlineLvl w:val="0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customStyle="1" w:styleId="Default">
    <w:name w:val="Default"/>
    <w:rsid w:val="00D9255B"/>
    <w:pPr>
      <w:widowControl/>
      <w:adjustRightInd w:val="0"/>
    </w:pPr>
    <w:rPr>
      <w:rFonts w:ascii="Arial" w:hAnsi="Arial" w:cs="Arial"/>
      <w:color w:val="000000"/>
      <w:sz w:val="24"/>
      <w:szCs w:val="24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04BC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4BC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mea.fi/" TargetMode="External"/><Relationship Id="rId5" Type="http://schemas.openxmlformats.org/officeDocument/2006/relationships/hyperlink" Target="mailto:kirjaamo@fimea.f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158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Fimea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Laakso Merja</dc:creator>
  <cp:lastModifiedBy>Laakso Merja</cp:lastModifiedBy>
  <cp:revision>7</cp:revision>
  <cp:lastPrinted>2019-08-19T11:03:00Z</cp:lastPrinted>
  <dcterms:created xsi:type="dcterms:W3CDTF">2019-08-19T10:25:00Z</dcterms:created>
  <dcterms:modified xsi:type="dcterms:W3CDTF">2019-08-19T12:25:00Z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2019-08-19T00:00:00Z</vt:filetime>
  </property>
</Properties>
</file>