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F1DC" w14:textId="02D5DF34" w:rsidR="0050625D" w:rsidRPr="0015768B" w:rsidRDefault="0050625D" w:rsidP="0050625D">
      <w:pPr>
        <w:rPr>
          <w:b/>
          <w:bCs/>
          <w:lang w:val="en-GB"/>
        </w:rPr>
      </w:pPr>
      <w:commentRangeStart w:id="0"/>
      <w:r w:rsidRPr="0015768B">
        <w:rPr>
          <w:b/>
          <w:bCs/>
          <w:lang w:val="en-GB"/>
        </w:rPr>
        <w:t xml:space="preserve">Introduction </w:t>
      </w:r>
      <w:r w:rsidR="004F1F5F" w:rsidRPr="0015768B">
        <w:rPr>
          <w:b/>
          <w:bCs/>
          <w:lang w:val="en-GB"/>
        </w:rPr>
        <w:t xml:space="preserve">to writing a </w:t>
      </w:r>
      <w:r w:rsidRPr="0015768B">
        <w:rPr>
          <w:b/>
          <w:bCs/>
          <w:lang w:val="en-GB"/>
        </w:rPr>
        <w:t xml:space="preserve">simplified </w:t>
      </w:r>
      <w:r w:rsidR="004F1F5F" w:rsidRPr="0015768B">
        <w:rPr>
          <w:b/>
          <w:bCs/>
          <w:lang w:val="en-GB"/>
        </w:rPr>
        <w:t>annual safety report (</w:t>
      </w:r>
      <w:r w:rsidRPr="0015768B">
        <w:rPr>
          <w:b/>
          <w:bCs/>
          <w:lang w:val="en-GB"/>
        </w:rPr>
        <w:t>ASR</w:t>
      </w:r>
      <w:r w:rsidR="004F1F5F" w:rsidRPr="0015768B">
        <w:rPr>
          <w:b/>
          <w:bCs/>
          <w:lang w:val="en-GB"/>
        </w:rPr>
        <w:t>)</w:t>
      </w:r>
      <w:commentRangeEnd w:id="0"/>
      <w:r w:rsidR="000A6448">
        <w:rPr>
          <w:rStyle w:val="Kommentinviite"/>
        </w:rPr>
        <w:commentReference w:id="0"/>
      </w:r>
    </w:p>
    <w:p w14:paraId="753B5F82" w14:textId="6C56DE56" w:rsidR="0050625D" w:rsidRPr="0015768B" w:rsidRDefault="0050625D" w:rsidP="0050625D">
      <w:pPr>
        <w:rPr>
          <w:lang w:val="en-GB"/>
        </w:rPr>
      </w:pPr>
      <w:r w:rsidRPr="0015768B">
        <w:rPr>
          <w:lang w:val="en-GB"/>
        </w:rPr>
        <w:t xml:space="preserve">According to EU regulation 536/2014 article 43 all clinical trials that last more than a year must submit an annual safety report (ASR). The reporting period for the first ASR starts with the </w:t>
      </w:r>
      <w:r w:rsidR="004F1F5F" w:rsidRPr="0015768B">
        <w:rPr>
          <w:lang w:val="en-GB"/>
        </w:rPr>
        <w:t xml:space="preserve">authorization </w:t>
      </w:r>
      <w:r w:rsidRPr="0015768B">
        <w:rPr>
          <w:lang w:val="en-GB"/>
        </w:rPr>
        <w:t>date of the clinical trial and ends after one full year.</w:t>
      </w:r>
      <w:r w:rsidR="004F1F5F" w:rsidRPr="0015768B">
        <w:rPr>
          <w:lang w:val="en-GB"/>
        </w:rPr>
        <w:t xml:space="preserve"> </w:t>
      </w:r>
      <w:r w:rsidRPr="0015768B">
        <w:rPr>
          <w:lang w:val="en-GB"/>
        </w:rPr>
        <w:t xml:space="preserve">The sponsor then has 60 days to prepare and submit the ASR. </w:t>
      </w:r>
      <w:r w:rsidR="004F1F5F" w:rsidRPr="0015768B">
        <w:rPr>
          <w:lang w:val="en-GB"/>
        </w:rPr>
        <w:t xml:space="preserve"> </w:t>
      </w:r>
      <w:r w:rsidR="00502611" w:rsidRPr="0015768B">
        <w:rPr>
          <w:i/>
          <w:iCs/>
          <w:lang w:val="en-GB"/>
        </w:rPr>
        <w:t>For</w:t>
      </w:r>
      <w:r w:rsidR="004F1F5F" w:rsidRPr="0015768B">
        <w:rPr>
          <w:i/>
          <w:iCs/>
          <w:lang w:val="en-GB"/>
        </w:rPr>
        <w:t xml:space="preserve"> example, if the trial was authorized on the 6</w:t>
      </w:r>
      <w:r w:rsidR="004F1F5F" w:rsidRPr="0015768B">
        <w:rPr>
          <w:i/>
          <w:iCs/>
          <w:vertAlign w:val="superscript"/>
          <w:lang w:val="en-GB"/>
        </w:rPr>
        <w:t>th</w:t>
      </w:r>
      <w:r w:rsidR="004F1F5F" w:rsidRPr="0015768B">
        <w:rPr>
          <w:i/>
          <w:iCs/>
          <w:lang w:val="en-GB"/>
        </w:rPr>
        <w:t xml:space="preserve"> of December</w:t>
      </w:r>
      <w:r w:rsidR="00502611" w:rsidRPr="0015768B">
        <w:rPr>
          <w:i/>
          <w:iCs/>
          <w:lang w:val="en-GB"/>
        </w:rPr>
        <w:t xml:space="preserve"> 2025</w:t>
      </w:r>
      <w:r w:rsidR="004F1F5F" w:rsidRPr="0015768B">
        <w:rPr>
          <w:i/>
          <w:iCs/>
          <w:lang w:val="en-GB"/>
        </w:rPr>
        <w:t xml:space="preserve">, the reporting period would be </w:t>
      </w:r>
      <w:r w:rsidR="00920EBE" w:rsidRPr="0015768B">
        <w:rPr>
          <w:i/>
          <w:iCs/>
          <w:lang w:val="en-GB"/>
        </w:rPr>
        <w:t xml:space="preserve">from </w:t>
      </w:r>
      <w:r w:rsidR="004F1F5F" w:rsidRPr="0015768B">
        <w:rPr>
          <w:i/>
          <w:iCs/>
          <w:lang w:val="en-GB"/>
        </w:rPr>
        <w:t>the 6</w:t>
      </w:r>
      <w:r w:rsidR="004F1F5F" w:rsidRPr="0015768B">
        <w:rPr>
          <w:i/>
          <w:iCs/>
          <w:vertAlign w:val="superscript"/>
          <w:lang w:val="en-GB"/>
        </w:rPr>
        <w:t xml:space="preserve">th </w:t>
      </w:r>
      <w:r w:rsidR="004F1F5F" w:rsidRPr="0015768B">
        <w:rPr>
          <w:i/>
          <w:iCs/>
          <w:lang w:val="en-GB"/>
        </w:rPr>
        <w:t>of December 2025 to the 5</w:t>
      </w:r>
      <w:r w:rsidR="004F1F5F" w:rsidRPr="0015768B">
        <w:rPr>
          <w:i/>
          <w:iCs/>
          <w:vertAlign w:val="superscript"/>
          <w:lang w:val="en-GB"/>
        </w:rPr>
        <w:t>th</w:t>
      </w:r>
      <w:r w:rsidR="004F1F5F" w:rsidRPr="0015768B">
        <w:rPr>
          <w:i/>
          <w:iCs/>
          <w:lang w:val="en-GB"/>
        </w:rPr>
        <w:t xml:space="preserve"> of December 2026</w:t>
      </w:r>
      <w:r w:rsidR="00502611" w:rsidRPr="0015768B">
        <w:rPr>
          <w:i/>
          <w:iCs/>
          <w:lang w:val="en-GB"/>
        </w:rPr>
        <w:t xml:space="preserve">. The </w:t>
      </w:r>
      <w:r w:rsidR="004F1F5F" w:rsidRPr="0015768B">
        <w:rPr>
          <w:i/>
          <w:iCs/>
          <w:lang w:val="en-GB"/>
        </w:rPr>
        <w:t>ASR would</w:t>
      </w:r>
      <w:r w:rsidR="00502611" w:rsidRPr="0015768B">
        <w:rPr>
          <w:i/>
          <w:iCs/>
          <w:lang w:val="en-GB"/>
        </w:rPr>
        <w:t xml:space="preserve"> then</w:t>
      </w:r>
      <w:r w:rsidR="004F1F5F" w:rsidRPr="0015768B">
        <w:rPr>
          <w:i/>
          <w:iCs/>
          <w:lang w:val="en-GB"/>
        </w:rPr>
        <w:t xml:space="preserve"> </w:t>
      </w:r>
      <w:r w:rsidR="00502611" w:rsidRPr="0015768B">
        <w:rPr>
          <w:i/>
          <w:iCs/>
          <w:lang w:val="en-GB"/>
        </w:rPr>
        <w:t>need to</w:t>
      </w:r>
      <w:r w:rsidR="004F1F5F" w:rsidRPr="0015768B">
        <w:rPr>
          <w:i/>
          <w:iCs/>
          <w:lang w:val="en-GB"/>
        </w:rPr>
        <w:t xml:space="preserve"> be submitted to CTIS </w:t>
      </w:r>
      <w:r w:rsidR="00502611" w:rsidRPr="0015768B">
        <w:rPr>
          <w:i/>
          <w:iCs/>
          <w:lang w:val="en-GB"/>
        </w:rPr>
        <w:t>by the</w:t>
      </w:r>
      <w:r w:rsidR="004F1F5F" w:rsidRPr="0015768B">
        <w:rPr>
          <w:i/>
          <w:iCs/>
          <w:lang w:val="en-GB"/>
        </w:rPr>
        <w:t xml:space="preserve"> 3</w:t>
      </w:r>
      <w:r w:rsidR="004F1F5F" w:rsidRPr="0015768B">
        <w:rPr>
          <w:i/>
          <w:iCs/>
          <w:vertAlign w:val="superscript"/>
          <w:lang w:val="en-GB"/>
        </w:rPr>
        <w:t>rd</w:t>
      </w:r>
      <w:r w:rsidR="004F1F5F" w:rsidRPr="0015768B">
        <w:rPr>
          <w:i/>
          <w:iCs/>
          <w:lang w:val="en-GB"/>
        </w:rPr>
        <w:t xml:space="preserve"> </w:t>
      </w:r>
      <w:r w:rsidR="00504408">
        <w:rPr>
          <w:i/>
          <w:iCs/>
          <w:lang w:val="en-GB"/>
        </w:rPr>
        <w:t xml:space="preserve">of </w:t>
      </w:r>
      <w:r w:rsidR="004F1F5F" w:rsidRPr="0015768B">
        <w:rPr>
          <w:i/>
          <w:iCs/>
          <w:lang w:val="en-GB"/>
        </w:rPr>
        <w:t>February 2026.</w:t>
      </w:r>
      <w:r w:rsidR="00502611" w:rsidRPr="0015768B">
        <w:rPr>
          <w:lang w:val="en-GB"/>
        </w:rPr>
        <w:t xml:space="preserve"> </w:t>
      </w:r>
      <w:r w:rsidRPr="0015768B">
        <w:rPr>
          <w:lang w:val="en-GB"/>
        </w:rPr>
        <w:t>The common standard for ASR</w:t>
      </w:r>
      <w:r w:rsidR="00502611" w:rsidRPr="0015768B">
        <w:rPr>
          <w:lang w:val="en-GB"/>
        </w:rPr>
        <w:t>s</w:t>
      </w:r>
      <w:r w:rsidRPr="0015768B">
        <w:rPr>
          <w:lang w:val="en-GB"/>
        </w:rPr>
        <w:t xml:space="preserve"> is given by the ICH E2F guideline on development safety update report (DSUR)</w:t>
      </w:r>
      <w:r w:rsidR="00636141" w:rsidRPr="0015768B">
        <w:rPr>
          <w:lang w:val="en-GB"/>
        </w:rPr>
        <w:t>.</w:t>
      </w:r>
      <w:r w:rsidR="00920EBE" w:rsidRPr="0015768B">
        <w:rPr>
          <w:lang w:val="en-GB"/>
        </w:rPr>
        <w:t xml:space="preserve"> </w:t>
      </w:r>
    </w:p>
    <w:p w14:paraId="01CBEF39" w14:textId="5B838985" w:rsidR="00B61776" w:rsidRPr="0015768B" w:rsidRDefault="00502611" w:rsidP="0050625D">
      <w:pPr>
        <w:rPr>
          <w:lang w:val="en-GB"/>
        </w:rPr>
      </w:pPr>
      <w:r w:rsidRPr="0015768B">
        <w:rPr>
          <w:lang w:val="en-GB"/>
        </w:rPr>
        <w:t xml:space="preserve">Submitting </w:t>
      </w:r>
      <w:r w:rsidRPr="00BE647F">
        <w:rPr>
          <w:b/>
          <w:bCs/>
          <w:lang w:val="en-GB"/>
        </w:rPr>
        <w:t>a simplified ASR based on the template provided is appropriate f</w:t>
      </w:r>
      <w:r w:rsidR="0050625D" w:rsidRPr="00BE647F">
        <w:rPr>
          <w:b/>
          <w:bCs/>
          <w:lang w:val="en-GB"/>
        </w:rPr>
        <w:t>or non-commercial sponsors conducting a single</w:t>
      </w:r>
      <w:r w:rsidR="0088185D">
        <w:rPr>
          <w:b/>
          <w:bCs/>
          <w:lang w:val="en-GB"/>
        </w:rPr>
        <w:t xml:space="preserve"> </w:t>
      </w:r>
      <w:r w:rsidR="0050625D" w:rsidRPr="00BE647F">
        <w:rPr>
          <w:b/>
          <w:bCs/>
          <w:lang w:val="en-GB"/>
        </w:rPr>
        <w:t xml:space="preserve">clinical trial on </w:t>
      </w:r>
      <w:r w:rsidRPr="00BE647F">
        <w:rPr>
          <w:b/>
          <w:bCs/>
          <w:lang w:val="en-GB"/>
        </w:rPr>
        <w:t>investigational medicinal products (</w:t>
      </w:r>
      <w:r w:rsidR="0050625D" w:rsidRPr="00BE647F">
        <w:rPr>
          <w:b/>
          <w:bCs/>
          <w:lang w:val="en-GB"/>
        </w:rPr>
        <w:t>IMPs</w:t>
      </w:r>
      <w:r w:rsidRPr="00BE647F">
        <w:rPr>
          <w:b/>
          <w:bCs/>
          <w:lang w:val="en-GB"/>
        </w:rPr>
        <w:t>)</w:t>
      </w:r>
      <w:r w:rsidR="00AC6DF8">
        <w:rPr>
          <w:b/>
          <w:bCs/>
          <w:lang w:val="en-GB"/>
        </w:rPr>
        <w:t xml:space="preserve"> </w:t>
      </w:r>
      <w:r w:rsidR="0050625D" w:rsidRPr="00BE647F">
        <w:rPr>
          <w:b/>
          <w:bCs/>
          <w:lang w:val="en-GB"/>
        </w:rPr>
        <w:t xml:space="preserve">with a </w:t>
      </w:r>
      <w:r w:rsidRPr="00BE647F">
        <w:rPr>
          <w:b/>
          <w:bCs/>
          <w:lang w:val="en-GB"/>
        </w:rPr>
        <w:t>marketing authorization (</w:t>
      </w:r>
      <w:r w:rsidR="0050625D" w:rsidRPr="00BE647F">
        <w:rPr>
          <w:b/>
          <w:bCs/>
          <w:lang w:val="en-GB"/>
        </w:rPr>
        <w:t>MA</w:t>
      </w:r>
      <w:r w:rsidRPr="00BE647F">
        <w:rPr>
          <w:b/>
          <w:bCs/>
          <w:lang w:val="en-GB"/>
        </w:rPr>
        <w:t>)</w:t>
      </w:r>
      <w:r w:rsidR="0050625D" w:rsidRPr="00BE647F">
        <w:rPr>
          <w:b/>
          <w:bCs/>
          <w:lang w:val="en-GB"/>
        </w:rPr>
        <w:t xml:space="preserve"> in </w:t>
      </w:r>
      <w:r w:rsidR="002001BB" w:rsidRPr="00BE647F">
        <w:rPr>
          <w:b/>
          <w:bCs/>
          <w:lang w:val="en-GB"/>
        </w:rPr>
        <w:t>any of the EU/EEA member states</w:t>
      </w:r>
      <w:r w:rsidR="0050625D" w:rsidRPr="00BE647F">
        <w:rPr>
          <w:b/>
          <w:bCs/>
          <w:lang w:val="en-GB"/>
        </w:rPr>
        <w:t xml:space="preserve"> and where the </w:t>
      </w:r>
      <w:r w:rsidRPr="00BE647F">
        <w:rPr>
          <w:b/>
          <w:bCs/>
          <w:lang w:val="en-GB"/>
        </w:rPr>
        <w:t>summary of product characteristics (</w:t>
      </w:r>
      <w:r w:rsidR="0050625D" w:rsidRPr="00BE647F">
        <w:rPr>
          <w:b/>
          <w:bCs/>
          <w:lang w:val="en-GB"/>
        </w:rPr>
        <w:t>SmPC</w:t>
      </w:r>
      <w:r w:rsidRPr="00BE647F">
        <w:rPr>
          <w:b/>
          <w:bCs/>
          <w:lang w:val="en-GB"/>
        </w:rPr>
        <w:t>)</w:t>
      </w:r>
      <w:r w:rsidR="0050625D" w:rsidRPr="00BE647F">
        <w:rPr>
          <w:b/>
          <w:bCs/>
          <w:lang w:val="en-GB"/>
        </w:rPr>
        <w:t xml:space="preserve"> is used as </w:t>
      </w:r>
      <w:r w:rsidRPr="00BE647F">
        <w:rPr>
          <w:b/>
          <w:bCs/>
          <w:lang w:val="en-GB"/>
        </w:rPr>
        <w:t>reference safety information (</w:t>
      </w:r>
      <w:r w:rsidR="0050625D" w:rsidRPr="00BE647F">
        <w:rPr>
          <w:b/>
          <w:bCs/>
          <w:lang w:val="en-GB"/>
        </w:rPr>
        <w:t>RSI</w:t>
      </w:r>
      <w:r w:rsidRPr="00BE647F">
        <w:rPr>
          <w:b/>
          <w:bCs/>
          <w:lang w:val="en-GB"/>
        </w:rPr>
        <w:t>)</w:t>
      </w:r>
      <w:r w:rsidR="0050625D" w:rsidRPr="00BE647F">
        <w:rPr>
          <w:b/>
          <w:bCs/>
          <w:lang w:val="en-GB"/>
        </w:rPr>
        <w:t>.</w:t>
      </w:r>
      <w:r w:rsidR="0050625D" w:rsidRPr="0015768B">
        <w:rPr>
          <w:lang w:val="en-GB"/>
        </w:rPr>
        <w:t xml:space="preserve"> </w:t>
      </w:r>
      <w:r w:rsidR="003270C3">
        <w:rPr>
          <w:lang w:val="en-GB"/>
        </w:rPr>
        <w:t>In case the sponsor conducts multiple clinical trials with the same</w:t>
      </w:r>
      <w:r w:rsidR="00773EEB">
        <w:rPr>
          <w:lang w:val="en-GB"/>
        </w:rPr>
        <w:t xml:space="preserve"> product </w:t>
      </w:r>
      <w:r w:rsidR="0050625D" w:rsidRPr="0015768B">
        <w:rPr>
          <w:lang w:val="en-GB"/>
        </w:rPr>
        <w:t>This template gives detailed instructions on what information is expected and what may be omitted in this setting</w:t>
      </w:r>
      <w:r w:rsidR="00636141" w:rsidRPr="0015768B">
        <w:rPr>
          <w:lang w:val="en-GB"/>
        </w:rPr>
        <w:t xml:space="preserve">. </w:t>
      </w:r>
      <w:r w:rsidR="007167DA" w:rsidRPr="0015768B">
        <w:rPr>
          <w:lang w:val="en-GB"/>
        </w:rPr>
        <w:t xml:space="preserve">The simplified ASR should always be </w:t>
      </w:r>
      <w:r w:rsidR="00B61776" w:rsidRPr="0015768B">
        <w:rPr>
          <w:lang w:val="en-GB"/>
        </w:rPr>
        <w:t xml:space="preserve">written </w:t>
      </w:r>
      <w:r w:rsidR="007167DA" w:rsidRPr="0015768B">
        <w:rPr>
          <w:lang w:val="en-GB"/>
        </w:rPr>
        <w:t xml:space="preserve">in English. </w:t>
      </w:r>
      <w:r w:rsidR="00636141" w:rsidRPr="0015768B">
        <w:rPr>
          <w:lang w:val="en-GB"/>
        </w:rPr>
        <w:t>Using the simplified ASR template in this setting will ensure compliance with the ICH E2F guidance.</w:t>
      </w:r>
    </w:p>
    <w:p w14:paraId="07A50DE4" w14:textId="1C49301D" w:rsidR="00B61776" w:rsidRPr="0015768B" w:rsidRDefault="00636141" w:rsidP="0050625D">
      <w:pPr>
        <w:rPr>
          <w:lang w:val="en-GB"/>
        </w:rPr>
      </w:pPr>
      <w:r w:rsidRPr="00DC10E4">
        <w:rPr>
          <w:b/>
          <w:bCs/>
          <w:lang w:val="en-GB"/>
        </w:rPr>
        <w:t>Non-commercial sponsors investigating an IMP without a marketing authorization (MA), conducting multiple clinical trials on the same IMP, </w:t>
      </w:r>
      <w:r w:rsidR="0050625D" w:rsidRPr="00DC10E4">
        <w:rPr>
          <w:b/>
          <w:bCs/>
          <w:lang w:val="en-GB"/>
        </w:rPr>
        <w:t xml:space="preserve">or using </w:t>
      </w:r>
      <w:r w:rsidRPr="00DC10E4">
        <w:rPr>
          <w:b/>
          <w:bCs/>
          <w:lang w:val="en-GB"/>
        </w:rPr>
        <w:t>an Investigator’s brochure (IB)</w:t>
      </w:r>
      <w:r w:rsidR="0050625D" w:rsidRPr="00DC10E4">
        <w:rPr>
          <w:b/>
          <w:bCs/>
          <w:lang w:val="en-GB"/>
        </w:rPr>
        <w:t xml:space="preserve"> as RSI are expected to submit a full ASR</w:t>
      </w:r>
      <w:r w:rsidR="005D0B42" w:rsidRPr="00DC10E4">
        <w:rPr>
          <w:b/>
          <w:bCs/>
          <w:lang w:val="en-GB"/>
        </w:rPr>
        <w:t xml:space="preserve"> as of</w:t>
      </w:r>
      <w:r w:rsidRPr="00DC10E4">
        <w:rPr>
          <w:b/>
          <w:bCs/>
          <w:lang w:val="en-GB"/>
        </w:rPr>
        <w:t xml:space="preserve"> the</w:t>
      </w:r>
      <w:r w:rsidR="005D0B42" w:rsidRPr="00DC10E4">
        <w:rPr>
          <w:b/>
          <w:bCs/>
          <w:lang w:val="en-GB"/>
        </w:rPr>
        <w:t xml:space="preserve"> ICH E2F</w:t>
      </w:r>
      <w:r w:rsidRPr="00DC10E4">
        <w:rPr>
          <w:b/>
          <w:bCs/>
          <w:lang w:val="en-GB"/>
        </w:rPr>
        <w:t xml:space="preserve"> guidance</w:t>
      </w:r>
      <w:r w:rsidRPr="0015768B">
        <w:rPr>
          <w:lang w:val="en-GB"/>
        </w:rPr>
        <w:t xml:space="preserve">. </w:t>
      </w:r>
      <w:r w:rsidR="00E4643D" w:rsidRPr="00912DEB">
        <w:rPr>
          <w:lang w:val="en-GB"/>
        </w:rPr>
        <w:t xml:space="preserve">The template can serve as a useful starting point for preparing </w:t>
      </w:r>
      <w:r w:rsidR="00DC10E4" w:rsidRPr="00912DEB">
        <w:rPr>
          <w:lang w:val="en-GB"/>
        </w:rPr>
        <w:t xml:space="preserve">the full </w:t>
      </w:r>
      <w:r w:rsidR="00E4643D" w:rsidRPr="00912DEB">
        <w:rPr>
          <w:lang w:val="en-GB"/>
        </w:rPr>
        <w:t>ASR</w:t>
      </w:r>
      <w:r w:rsidR="00AC6DF8" w:rsidRPr="00912DEB">
        <w:rPr>
          <w:lang w:val="en-GB"/>
        </w:rPr>
        <w:t xml:space="preserve"> also in these situations</w:t>
      </w:r>
      <w:r w:rsidR="008D5120" w:rsidRPr="00912DEB">
        <w:rPr>
          <w:lang w:val="en-GB"/>
        </w:rPr>
        <w:t>, however every section should be completed and “not applicable</w:t>
      </w:r>
      <w:r w:rsidR="00912DEB" w:rsidRPr="00912DEB">
        <w:rPr>
          <w:lang w:val="en-GB"/>
        </w:rPr>
        <w:t>” should be explained.</w:t>
      </w:r>
      <w:r w:rsidRPr="0015768B">
        <w:rPr>
          <w:lang w:val="en-GB"/>
        </w:rPr>
        <w:t xml:space="preserve">  </w:t>
      </w:r>
    </w:p>
    <w:p w14:paraId="62128F70" w14:textId="0607918D" w:rsidR="0050625D" w:rsidRDefault="0050625D" w:rsidP="0050625D">
      <w:pPr>
        <w:rPr>
          <w:lang w:val="en-GB"/>
        </w:rPr>
      </w:pPr>
      <w:r w:rsidRPr="0015768B">
        <w:rPr>
          <w:lang w:val="en-GB"/>
        </w:rPr>
        <w:t xml:space="preserve">Any sponsor submitting a simplified ASR must still comply with the overall objective of the </w:t>
      </w:r>
      <w:r w:rsidR="00A02A91" w:rsidRPr="0015768B">
        <w:rPr>
          <w:lang w:val="en-GB"/>
        </w:rPr>
        <w:t>ASR</w:t>
      </w:r>
      <w:r w:rsidR="002A3098">
        <w:rPr>
          <w:lang w:val="en-GB"/>
        </w:rPr>
        <w:t xml:space="preserve"> </w:t>
      </w:r>
      <w:r w:rsidRPr="0015768B">
        <w:rPr>
          <w:lang w:val="en-GB"/>
        </w:rPr>
        <w:t xml:space="preserve">which is to </w:t>
      </w:r>
      <w:r w:rsidR="00C70204" w:rsidRPr="0015768B">
        <w:rPr>
          <w:lang w:val="en-GB"/>
        </w:rPr>
        <w:t>provide</w:t>
      </w:r>
      <w:r w:rsidRPr="0015768B">
        <w:rPr>
          <w:lang w:val="en-GB"/>
        </w:rPr>
        <w:t xml:space="preserve"> a comprehensive, thoughtful annual review and evaluation of pertinent safety information collected </w:t>
      </w:r>
      <w:r w:rsidR="00C70204" w:rsidRPr="0015768B">
        <w:rPr>
          <w:lang w:val="en-GB"/>
        </w:rPr>
        <w:t xml:space="preserve">for the IMP(s) and the clinical trial </w:t>
      </w:r>
      <w:r w:rsidRPr="0015768B">
        <w:rPr>
          <w:lang w:val="en-GB"/>
        </w:rPr>
        <w:t>during the reporting period.</w:t>
      </w:r>
      <w:r w:rsidR="00C70204" w:rsidRPr="0015768B">
        <w:rPr>
          <w:lang w:val="en-GB"/>
        </w:rPr>
        <w:t xml:space="preserve"> </w:t>
      </w:r>
      <w:r w:rsidRPr="0015768B">
        <w:rPr>
          <w:lang w:val="en-GB"/>
        </w:rPr>
        <w:t xml:space="preserve">The focus should be on new </w:t>
      </w:r>
      <w:r w:rsidR="005D0B42" w:rsidRPr="0015768B">
        <w:rPr>
          <w:lang w:val="en-GB"/>
        </w:rPr>
        <w:t xml:space="preserve">or changed </w:t>
      </w:r>
      <w:r w:rsidRPr="0015768B">
        <w:rPr>
          <w:lang w:val="en-GB"/>
        </w:rPr>
        <w:t xml:space="preserve">safety findings </w:t>
      </w:r>
      <w:r w:rsidR="00C70204" w:rsidRPr="0015768B">
        <w:rPr>
          <w:lang w:val="en-GB"/>
        </w:rPr>
        <w:t xml:space="preserve">that could impact </w:t>
      </w:r>
      <w:r w:rsidR="004545B5" w:rsidRPr="0015768B">
        <w:rPr>
          <w:lang w:val="en-GB"/>
        </w:rPr>
        <w:t>t</w:t>
      </w:r>
      <w:r w:rsidR="00C70204" w:rsidRPr="0015768B">
        <w:rPr>
          <w:lang w:val="en-GB"/>
        </w:rPr>
        <w:t xml:space="preserve">he safety profile of the IMP(s) or the </w:t>
      </w:r>
      <w:r w:rsidRPr="0015768B">
        <w:rPr>
          <w:lang w:val="en-GB"/>
        </w:rPr>
        <w:t xml:space="preserve">overall risk benefit </w:t>
      </w:r>
      <w:r w:rsidR="00C70204" w:rsidRPr="0015768B">
        <w:rPr>
          <w:lang w:val="en-GB"/>
        </w:rPr>
        <w:t xml:space="preserve">balance </w:t>
      </w:r>
      <w:r w:rsidRPr="0015768B">
        <w:rPr>
          <w:lang w:val="en-GB"/>
        </w:rPr>
        <w:t xml:space="preserve">of the clinical trial and the </w:t>
      </w:r>
      <w:r w:rsidR="00C70204" w:rsidRPr="0015768B">
        <w:rPr>
          <w:lang w:val="en-GB"/>
        </w:rPr>
        <w:t>sponsors’</w:t>
      </w:r>
      <w:r w:rsidRPr="0015768B">
        <w:rPr>
          <w:lang w:val="en-GB"/>
        </w:rPr>
        <w:t xml:space="preserve"> assessment of these findings.</w:t>
      </w:r>
      <w:r w:rsidR="005D0B42" w:rsidRPr="0015768B">
        <w:rPr>
          <w:lang w:val="en-GB"/>
        </w:rPr>
        <w:t xml:space="preserve"> In addition, </w:t>
      </w:r>
      <w:r w:rsidR="004545B5" w:rsidRPr="0015768B">
        <w:rPr>
          <w:lang w:val="en-GB"/>
        </w:rPr>
        <w:t>the safety analysis may require or may have previously required risk mitigation measures, which should also be included in this simplified ASR.</w:t>
      </w:r>
    </w:p>
    <w:p w14:paraId="7D15A194" w14:textId="77777777" w:rsidR="0050625D" w:rsidRPr="0015768B" w:rsidRDefault="0050625D" w:rsidP="0050625D">
      <w:pPr>
        <w:rPr>
          <w:lang w:val="en-GB"/>
        </w:rPr>
      </w:pPr>
    </w:p>
    <w:p w14:paraId="41E49CE2" w14:textId="77777777" w:rsidR="0050625D" w:rsidRPr="0015768B" w:rsidRDefault="0050625D">
      <w:pPr>
        <w:rPr>
          <w:rFonts w:asciiTheme="majorHAnsi" w:eastAsiaTheme="majorEastAsia" w:hAnsiTheme="majorHAnsi"/>
          <w:color w:val="17365D" w:themeColor="text2" w:themeShade="BF"/>
          <w:spacing w:val="5"/>
          <w:kern w:val="28"/>
          <w:sz w:val="52"/>
          <w:szCs w:val="52"/>
          <w:lang w:val="en-GB"/>
        </w:rPr>
      </w:pPr>
      <w:r w:rsidRPr="0015768B">
        <w:rPr>
          <w:lang w:val="en-GB"/>
        </w:rPr>
        <w:br w:type="page"/>
      </w:r>
    </w:p>
    <w:p w14:paraId="7A635627" w14:textId="789227B9" w:rsidR="005F71DA" w:rsidRPr="0015768B" w:rsidRDefault="001149C5" w:rsidP="004148E1">
      <w:pPr>
        <w:pStyle w:val="Otsikko"/>
        <w:jc w:val="center"/>
        <w:rPr>
          <w:lang w:val="en-GB"/>
        </w:rPr>
      </w:pPr>
      <w:commentRangeStart w:id="1"/>
      <w:commentRangeStart w:id="2"/>
      <w:r w:rsidRPr="0015768B">
        <w:rPr>
          <w:lang w:val="en-GB"/>
        </w:rPr>
        <w:lastRenderedPageBreak/>
        <w:t xml:space="preserve">Simplified </w:t>
      </w:r>
      <w:r w:rsidR="004545B5" w:rsidRPr="0015768B">
        <w:rPr>
          <w:lang w:val="en-GB"/>
        </w:rPr>
        <w:t>Annual Safety</w:t>
      </w:r>
      <w:r w:rsidR="004148E1" w:rsidRPr="0015768B">
        <w:rPr>
          <w:lang w:val="en-GB"/>
        </w:rPr>
        <w:t xml:space="preserve"> </w:t>
      </w:r>
      <w:commentRangeStart w:id="3"/>
      <w:r w:rsidR="004148E1" w:rsidRPr="0015768B">
        <w:rPr>
          <w:lang w:val="en-GB"/>
        </w:rPr>
        <w:t>Report</w:t>
      </w:r>
      <w:commentRangeEnd w:id="3"/>
      <w:r w:rsidR="00EF2111" w:rsidRPr="0015768B">
        <w:rPr>
          <w:rStyle w:val="Kommentinviite"/>
          <w:rFonts w:ascii="Segoe UI" w:hAnsi="Segoe UI"/>
          <w:color w:val="auto"/>
          <w:spacing w:val="0"/>
          <w:kern w:val="0"/>
          <w:lang w:val="en-GB"/>
        </w:rPr>
        <w:commentReference w:id="3"/>
      </w:r>
      <w:commentRangeEnd w:id="1"/>
      <w:r w:rsidR="00FD1393">
        <w:rPr>
          <w:rStyle w:val="Kommentinviite"/>
          <w:rFonts w:ascii="Segoe UI" w:eastAsia="Times New Roman" w:hAnsi="Segoe UI"/>
          <w:color w:val="auto"/>
          <w:spacing w:val="0"/>
          <w:kern w:val="0"/>
        </w:rPr>
        <w:commentReference w:id="1"/>
      </w:r>
      <w:commentRangeEnd w:id="2"/>
      <w:r w:rsidR="00FD1393">
        <w:rPr>
          <w:rStyle w:val="Kommentinviite"/>
          <w:rFonts w:ascii="Segoe UI" w:eastAsia="Times New Roman" w:hAnsi="Segoe UI"/>
          <w:color w:val="auto"/>
          <w:spacing w:val="0"/>
          <w:kern w:val="0"/>
        </w:rPr>
        <w:commentReference w:id="2"/>
      </w:r>
    </w:p>
    <w:tbl>
      <w:tblPr>
        <w:tblStyle w:val="TaulukkoRuudukko"/>
        <w:tblW w:w="0" w:type="auto"/>
        <w:tblLook w:val="04A0" w:firstRow="1" w:lastRow="0" w:firstColumn="1" w:lastColumn="0" w:noHBand="0" w:noVBand="1"/>
      </w:tblPr>
      <w:tblGrid>
        <w:gridCol w:w="6"/>
        <w:gridCol w:w="4540"/>
        <w:gridCol w:w="4804"/>
      </w:tblGrid>
      <w:tr w:rsidR="001149C5" w:rsidRPr="0015768B" w14:paraId="2D0191BE" w14:textId="77777777" w:rsidTr="00870492">
        <w:tc>
          <w:tcPr>
            <w:tcW w:w="4629" w:type="dxa"/>
            <w:gridSpan w:val="2"/>
          </w:tcPr>
          <w:p w14:paraId="4FECFE05" w14:textId="77777777" w:rsidR="001149C5" w:rsidRPr="0015768B" w:rsidRDefault="001149C5" w:rsidP="004148E1">
            <w:pPr>
              <w:rPr>
                <w:lang w:val="en-GB"/>
              </w:rPr>
            </w:pPr>
            <w:r w:rsidRPr="0015768B">
              <w:rPr>
                <w:lang w:val="en-GB"/>
              </w:rPr>
              <w:t>Title of study</w:t>
            </w:r>
          </w:p>
        </w:tc>
        <w:tc>
          <w:tcPr>
            <w:tcW w:w="4947" w:type="dxa"/>
          </w:tcPr>
          <w:p w14:paraId="51D9D65D" w14:textId="77777777" w:rsidR="001149C5" w:rsidRPr="0015768B" w:rsidRDefault="001149C5" w:rsidP="004148E1">
            <w:pPr>
              <w:rPr>
                <w:lang w:val="en-GB"/>
              </w:rPr>
            </w:pPr>
          </w:p>
        </w:tc>
      </w:tr>
      <w:tr w:rsidR="004148E1" w:rsidRPr="0015768B" w14:paraId="3EF6FB23" w14:textId="77777777" w:rsidTr="00870492">
        <w:tc>
          <w:tcPr>
            <w:tcW w:w="4629" w:type="dxa"/>
            <w:gridSpan w:val="2"/>
          </w:tcPr>
          <w:p w14:paraId="3040E557" w14:textId="77777777" w:rsidR="004148E1" w:rsidRPr="0015768B" w:rsidRDefault="004148E1" w:rsidP="004148E1">
            <w:pPr>
              <w:rPr>
                <w:lang w:val="en-GB"/>
              </w:rPr>
            </w:pPr>
            <w:r w:rsidRPr="0015768B">
              <w:rPr>
                <w:lang w:val="en-GB"/>
              </w:rPr>
              <w:t>Investigational Medicinal Product</w:t>
            </w:r>
            <w:r w:rsidR="00A95766" w:rsidRPr="0015768B">
              <w:rPr>
                <w:lang w:val="en-GB"/>
              </w:rPr>
              <w:t>(s)</w:t>
            </w:r>
            <w:r w:rsidR="001149C5" w:rsidRPr="0015768B">
              <w:rPr>
                <w:lang w:val="en-GB"/>
              </w:rPr>
              <w:t xml:space="preserve"> (</w:t>
            </w:r>
            <w:r w:rsidR="001149C5" w:rsidRPr="0015768B">
              <w:rPr>
                <w:color w:val="FF0000"/>
                <w:lang w:val="en-GB"/>
              </w:rPr>
              <w:t>active substance</w:t>
            </w:r>
            <w:r w:rsidR="001149C5" w:rsidRPr="0015768B">
              <w:rPr>
                <w:lang w:val="en-GB"/>
              </w:rPr>
              <w:t xml:space="preserve"> – brand name – ATC code)</w:t>
            </w:r>
          </w:p>
          <w:p w14:paraId="44AB00BD" w14:textId="77777777" w:rsidR="004148E1" w:rsidRPr="0015768B" w:rsidRDefault="004148E1" w:rsidP="004148E1">
            <w:pPr>
              <w:rPr>
                <w:lang w:val="en-GB"/>
              </w:rPr>
            </w:pPr>
          </w:p>
        </w:tc>
        <w:tc>
          <w:tcPr>
            <w:tcW w:w="4947" w:type="dxa"/>
          </w:tcPr>
          <w:p w14:paraId="6F482D19" w14:textId="77777777" w:rsidR="004148E1" w:rsidRPr="0015768B" w:rsidRDefault="004148E1" w:rsidP="004148E1">
            <w:pPr>
              <w:rPr>
                <w:lang w:val="en-GB"/>
              </w:rPr>
            </w:pPr>
          </w:p>
        </w:tc>
      </w:tr>
      <w:bookmarkStart w:id="4" w:name="Selectievakje1"/>
      <w:tr w:rsidR="00C70D30" w:rsidRPr="0015768B" w14:paraId="2D425B77" w14:textId="77777777" w:rsidTr="00870492">
        <w:trPr>
          <w:gridBefore w:val="1"/>
          <w:wBefore w:w="6" w:type="dxa"/>
        </w:trPr>
        <w:tc>
          <w:tcPr>
            <w:tcW w:w="9570" w:type="dxa"/>
            <w:gridSpan w:val="2"/>
          </w:tcPr>
          <w:p w14:paraId="240D4CA7" w14:textId="77777777" w:rsidR="004A66A0" w:rsidRPr="0015768B" w:rsidRDefault="00BF0511" w:rsidP="004148E1">
            <w:pPr>
              <w:rPr>
                <w:lang w:val="en-GB"/>
              </w:rPr>
            </w:pPr>
            <w:r w:rsidRPr="0015768B">
              <w:rPr>
                <w:lang w:val="en-GB"/>
              </w:rPr>
              <w:fldChar w:fldCharType="begin">
                <w:ffData>
                  <w:name w:val="Selectievakje1"/>
                  <w:enabled/>
                  <w:calcOnExit w:val="0"/>
                  <w:checkBox>
                    <w:sizeAuto/>
                    <w:default w:val="0"/>
                  </w:checkBox>
                </w:ffData>
              </w:fldChar>
            </w:r>
            <w:r w:rsidRPr="0015768B">
              <w:rPr>
                <w:lang w:val="en-GB"/>
              </w:rPr>
              <w:instrText xml:space="preserve"> FORMCHECKBOX </w:instrText>
            </w:r>
            <w:r w:rsidRPr="0015768B">
              <w:rPr>
                <w:lang w:val="en-GB"/>
              </w:rPr>
            </w:r>
            <w:r w:rsidRPr="0015768B">
              <w:rPr>
                <w:lang w:val="en-GB"/>
              </w:rPr>
              <w:fldChar w:fldCharType="separate"/>
            </w:r>
            <w:r w:rsidRPr="0015768B">
              <w:rPr>
                <w:lang w:val="en-GB"/>
              </w:rPr>
              <w:fldChar w:fldCharType="end"/>
            </w:r>
            <w:bookmarkEnd w:id="4"/>
            <w:r w:rsidRPr="0015768B">
              <w:rPr>
                <w:lang w:val="en-GB"/>
              </w:rPr>
              <w:t xml:space="preserve"> </w:t>
            </w:r>
            <w:r w:rsidR="00044BB8" w:rsidRPr="0015768B">
              <w:rPr>
                <w:lang w:val="en-GB"/>
              </w:rPr>
              <w:t>I confirm the IMP(s) is/are authorized and the SmPC is used as RSI.</w:t>
            </w:r>
          </w:p>
        </w:tc>
      </w:tr>
      <w:tr w:rsidR="004148E1" w:rsidRPr="0015768B" w14:paraId="326F10B8" w14:textId="77777777" w:rsidTr="00870492">
        <w:tc>
          <w:tcPr>
            <w:tcW w:w="4629" w:type="dxa"/>
            <w:gridSpan w:val="2"/>
          </w:tcPr>
          <w:p w14:paraId="65BBB1EE" w14:textId="3B37A69C" w:rsidR="004148E1" w:rsidRPr="0015768B" w:rsidRDefault="008F215E" w:rsidP="00CB045F">
            <w:pPr>
              <w:rPr>
                <w:lang w:val="en-GB"/>
              </w:rPr>
            </w:pPr>
            <w:r>
              <w:rPr>
                <w:lang w:val="en-GB"/>
              </w:rPr>
              <w:t>AS</w:t>
            </w:r>
            <w:commentRangeStart w:id="5"/>
            <w:r w:rsidR="00CB045F" w:rsidRPr="0015768B">
              <w:rPr>
                <w:lang w:val="en-GB"/>
              </w:rPr>
              <w:t>R</w:t>
            </w:r>
            <w:r w:rsidR="004148E1" w:rsidRPr="0015768B">
              <w:rPr>
                <w:lang w:val="en-GB"/>
              </w:rPr>
              <w:t xml:space="preserve"> </w:t>
            </w:r>
            <w:r w:rsidR="00380DE8" w:rsidRPr="0015768B">
              <w:rPr>
                <w:lang w:val="en-GB"/>
              </w:rPr>
              <w:t>N</w:t>
            </w:r>
            <w:r w:rsidR="004148E1" w:rsidRPr="0015768B">
              <w:rPr>
                <w:lang w:val="en-GB"/>
              </w:rPr>
              <w:t>umber</w:t>
            </w:r>
            <w:r w:rsidR="004D2297" w:rsidRPr="0015768B">
              <w:rPr>
                <w:lang w:val="en-GB"/>
              </w:rPr>
              <w:t xml:space="preserve"> </w:t>
            </w:r>
            <w:commentRangeEnd w:id="5"/>
            <w:r w:rsidR="00EF2111" w:rsidRPr="0015768B">
              <w:rPr>
                <w:rStyle w:val="Kommentinviite"/>
                <w:lang w:val="en-GB"/>
              </w:rPr>
              <w:commentReference w:id="5"/>
            </w:r>
          </w:p>
        </w:tc>
        <w:tc>
          <w:tcPr>
            <w:tcW w:w="4947" w:type="dxa"/>
          </w:tcPr>
          <w:p w14:paraId="6CA5DF29" w14:textId="77777777" w:rsidR="004148E1" w:rsidRPr="0015768B" w:rsidRDefault="004148E1" w:rsidP="004148E1">
            <w:pPr>
              <w:rPr>
                <w:lang w:val="en-GB"/>
              </w:rPr>
            </w:pPr>
          </w:p>
        </w:tc>
      </w:tr>
      <w:tr w:rsidR="004148E1" w:rsidRPr="0015768B" w14:paraId="4B8C36B7" w14:textId="77777777" w:rsidTr="00870492">
        <w:tc>
          <w:tcPr>
            <w:tcW w:w="4629" w:type="dxa"/>
            <w:gridSpan w:val="2"/>
          </w:tcPr>
          <w:p w14:paraId="69E1412D" w14:textId="77777777" w:rsidR="004148E1" w:rsidRPr="0015768B" w:rsidRDefault="004148E1" w:rsidP="004148E1">
            <w:pPr>
              <w:rPr>
                <w:lang w:val="en-GB"/>
              </w:rPr>
            </w:pPr>
            <w:commentRangeStart w:id="6"/>
            <w:r w:rsidRPr="0015768B">
              <w:rPr>
                <w:lang w:val="en-GB"/>
              </w:rPr>
              <w:t>Period covered</w:t>
            </w:r>
            <w:commentRangeEnd w:id="6"/>
            <w:r w:rsidR="008C52C1" w:rsidRPr="0015768B">
              <w:rPr>
                <w:rStyle w:val="Kommentinviite"/>
                <w:lang w:val="en-GB"/>
              </w:rPr>
              <w:commentReference w:id="6"/>
            </w:r>
          </w:p>
        </w:tc>
        <w:tc>
          <w:tcPr>
            <w:tcW w:w="4947" w:type="dxa"/>
          </w:tcPr>
          <w:p w14:paraId="018E4F7E" w14:textId="77777777" w:rsidR="004148E1" w:rsidRPr="0015768B" w:rsidRDefault="004148E1" w:rsidP="004148E1">
            <w:pPr>
              <w:rPr>
                <w:lang w:val="en-GB"/>
              </w:rPr>
            </w:pPr>
          </w:p>
        </w:tc>
      </w:tr>
      <w:tr w:rsidR="004148E1" w:rsidRPr="0015768B" w14:paraId="7313219D" w14:textId="77777777" w:rsidTr="00870492">
        <w:tc>
          <w:tcPr>
            <w:tcW w:w="4629" w:type="dxa"/>
            <w:gridSpan w:val="2"/>
          </w:tcPr>
          <w:p w14:paraId="5D1BEF2F" w14:textId="77777777" w:rsidR="004148E1" w:rsidRPr="0015768B" w:rsidRDefault="004148E1" w:rsidP="004148E1">
            <w:pPr>
              <w:rPr>
                <w:lang w:val="en-GB"/>
              </w:rPr>
            </w:pPr>
            <w:r w:rsidRPr="0015768B">
              <w:rPr>
                <w:lang w:val="en-GB"/>
              </w:rPr>
              <w:t>Name Sponsor</w:t>
            </w:r>
          </w:p>
        </w:tc>
        <w:tc>
          <w:tcPr>
            <w:tcW w:w="4947" w:type="dxa"/>
          </w:tcPr>
          <w:p w14:paraId="13B3C82D" w14:textId="77777777" w:rsidR="004148E1" w:rsidRPr="0015768B" w:rsidRDefault="004148E1" w:rsidP="004148E1">
            <w:pPr>
              <w:rPr>
                <w:lang w:val="en-GB"/>
              </w:rPr>
            </w:pPr>
          </w:p>
        </w:tc>
      </w:tr>
      <w:tr w:rsidR="004148E1" w:rsidRPr="0015768B" w14:paraId="05A8E98E" w14:textId="77777777" w:rsidTr="00870492">
        <w:tc>
          <w:tcPr>
            <w:tcW w:w="4629" w:type="dxa"/>
            <w:gridSpan w:val="2"/>
          </w:tcPr>
          <w:p w14:paraId="3FFD77E0" w14:textId="77777777" w:rsidR="004148E1" w:rsidRPr="0015768B" w:rsidRDefault="004148E1" w:rsidP="004148E1">
            <w:pPr>
              <w:rPr>
                <w:lang w:val="en-GB"/>
              </w:rPr>
            </w:pPr>
            <w:r w:rsidRPr="0015768B">
              <w:rPr>
                <w:lang w:val="en-GB"/>
              </w:rPr>
              <w:t>Address</w:t>
            </w:r>
          </w:p>
        </w:tc>
        <w:tc>
          <w:tcPr>
            <w:tcW w:w="4947" w:type="dxa"/>
          </w:tcPr>
          <w:p w14:paraId="79EC9F51" w14:textId="77777777" w:rsidR="004148E1" w:rsidRPr="0015768B" w:rsidRDefault="004148E1" w:rsidP="004148E1">
            <w:pPr>
              <w:rPr>
                <w:lang w:val="en-GB"/>
              </w:rPr>
            </w:pPr>
          </w:p>
        </w:tc>
      </w:tr>
      <w:tr w:rsidR="004148E1" w:rsidRPr="0015768B" w14:paraId="6687906F" w14:textId="77777777" w:rsidTr="00870492">
        <w:tc>
          <w:tcPr>
            <w:tcW w:w="4629" w:type="dxa"/>
            <w:gridSpan w:val="2"/>
          </w:tcPr>
          <w:p w14:paraId="3C149B44" w14:textId="77777777" w:rsidR="004148E1" w:rsidRPr="0015768B" w:rsidRDefault="004148E1" w:rsidP="004148E1">
            <w:pPr>
              <w:rPr>
                <w:lang w:val="en-GB"/>
              </w:rPr>
            </w:pPr>
            <w:r w:rsidRPr="0015768B">
              <w:rPr>
                <w:lang w:val="en-GB"/>
              </w:rPr>
              <w:t>Date</w:t>
            </w:r>
            <w:r w:rsidR="008D0EA4" w:rsidRPr="0015768B">
              <w:rPr>
                <w:lang w:val="en-GB"/>
              </w:rPr>
              <w:t xml:space="preserve"> of the report</w:t>
            </w:r>
          </w:p>
        </w:tc>
        <w:tc>
          <w:tcPr>
            <w:tcW w:w="4947" w:type="dxa"/>
          </w:tcPr>
          <w:p w14:paraId="7D955FC2" w14:textId="77777777" w:rsidR="004148E1" w:rsidRPr="0015768B" w:rsidRDefault="004148E1" w:rsidP="004148E1">
            <w:pPr>
              <w:rPr>
                <w:lang w:val="en-GB"/>
              </w:rPr>
            </w:pPr>
          </w:p>
        </w:tc>
      </w:tr>
      <w:tr w:rsidR="004148E1" w:rsidRPr="0015768B" w14:paraId="519593B2" w14:textId="77777777" w:rsidTr="00870492">
        <w:tc>
          <w:tcPr>
            <w:tcW w:w="4629" w:type="dxa"/>
            <w:gridSpan w:val="2"/>
          </w:tcPr>
          <w:p w14:paraId="79BCCF02" w14:textId="77777777" w:rsidR="004148E1" w:rsidRPr="0015768B" w:rsidRDefault="00CB045F" w:rsidP="004148E1">
            <w:pPr>
              <w:rPr>
                <w:lang w:val="en-GB"/>
              </w:rPr>
            </w:pPr>
            <w:r w:rsidRPr="0015768B">
              <w:rPr>
                <w:lang w:val="en-GB"/>
              </w:rPr>
              <w:t>Relevant stud</w:t>
            </w:r>
            <w:r w:rsidR="008C52C1" w:rsidRPr="0015768B">
              <w:rPr>
                <w:lang w:val="en-GB"/>
              </w:rPr>
              <w:t>y</w:t>
            </w:r>
            <w:r w:rsidRPr="0015768B">
              <w:rPr>
                <w:lang w:val="en-GB"/>
              </w:rPr>
              <w:t xml:space="preserve"> (</w:t>
            </w:r>
            <w:r w:rsidR="00BD4B76" w:rsidRPr="0015768B">
              <w:rPr>
                <w:lang w:val="en-GB"/>
              </w:rPr>
              <w:t xml:space="preserve">EU CT </w:t>
            </w:r>
            <w:r w:rsidRPr="0015768B">
              <w:rPr>
                <w:lang w:val="en-GB"/>
              </w:rPr>
              <w:t>number</w:t>
            </w:r>
            <w:r w:rsidR="00B46BB5" w:rsidRPr="0015768B">
              <w:rPr>
                <w:lang w:val="en-GB"/>
              </w:rPr>
              <w:t xml:space="preserve"> and internal number</w:t>
            </w:r>
            <w:r w:rsidRPr="0015768B">
              <w:rPr>
                <w:lang w:val="en-GB"/>
              </w:rPr>
              <w:t>)</w:t>
            </w:r>
          </w:p>
        </w:tc>
        <w:tc>
          <w:tcPr>
            <w:tcW w:w="4947" w:type="dxa"/>
          </w:tcPr>
          <w:p w14:paraId="5B5E7404" w14:textId="77777777" w:rsidR="008D0EA4" w:rsidRPr="0015768B" w:rsidRDefault="008D0EA4" w:rsidP="004148E1">
            <w:pPr>
              <w:rPr>
                <w:lang w:val="en-GB"/>
              </w:rPr>
            </w:pPr>
          </w:p>
        </w:tc>
      </w:tr>
      <w:tr w:rsidR="008D0EA4" w:rsidRPr="0015768B" w14:paraId="7B0AD7B0" w14:textId="77777777" w:rsidTr="00870492">
        <w:tc>
          <w:tcPr>
            <w:tcW w:w="9576" w:type="dxa"/>
            <w:gridSpan w:val="3"/>
          </w:tcPr>
          <w:p w14:paraId="724FF01F" w14:textId="77777777" w:rsidR="008D0EA4" w:rsidRPr="0015768B" w:rsidRDefault="008D0EA4" w:rsidP="004148E1">
            <w:pPr>
              <w:rPr>
                <w:lang w:val="en-GB"/>
              </w:rPr>
            </w:pPr>
            <w:r w:rsidRPr="0015768B">
              <w:rPr>
                <w:lang w:val="en-GB"/>
              </w:rPr>
              <w:t>Note:</w:t>
            </w:r>
          </w:p>
          <w:p w14:paraId="7FBBDB01" w14:textId="531D4EBE" w:rsidR="003612CD" w:rsidRPr="0015768B" w:rsidRDefault="003612CD" w:rsidP="008D0EA4">
            <w:pPr>
              <w:pStyle w:val="Luettelokappale"/>
              <w:numPr>
                <w:ilvl w:val="0"/>
                <w:numId w:val="1"/>
              </w:numPr>
              <w:rPr>
                <w:lang w:val="en-GB"/>
              </w:rPr>
            </w:pPr>
            <w:r w:rsidRPr="0015768B">
              <w:rPr>
                <w:lang w:val="en-GB"/>
              </w:rPr>
              <w:t xml:space="preserve">This </w:t>
            </w:r>
            <w:r w:rsidR="003D6551">
              <w:rPr>
                <w:lang w:val="en-GB"/>
              </w:rPr>
              <w:t>ASR</w:t>
            </w:r>
            <w:r w:rsidRPr="0015768B">
              <w:rPr>
                <w:lang w:val="en-GB"/>
              </w:rPr>
              <w:t xml:space="preserve"> contains </w:t>
            </w:r>
            <w:r w:rsidR="00A95766" w:rsidRPr="0015768B">
              <w:rPr>
                <w:lang w:val="en-GB"/>
              </w:rPr>
              <w:t xml:space="preserve">safety </w:t>
            </w:r>
            <w:r w:rsidRPr="0015768B">
              <w:rPr>
                <w:lang w:val="en-GB"/>
              </w:rPr>
              <w:t xml:space="preserve">information </w:t>
            </w:r>
            <w:r w:rsidR="00A95766" w:rsidRPr="0015768B">
              <w:rPr>
                <w:lang w:val="en-GB"/>
              </w:rPr>
              <w:t>about</w:t>
            </w:r>
            <w:r w:rsidRPr="0015768B">
              <w:rPr>
                <w:lang w:val="en-GB"/>
              </w:rPr>
              <w:t xml:space="preserve"> </w:t>
            </w:r>
            <w:r w:rsidR="00A95766" w:rsidRPr="0015768B">
              <w:rPr>
                <w:highlight w:val="green"/>
                <w:lang w:val="en-GB"/>
              </w:rPr>
              <w:t>[add number]</w:t>
            </w:r>
            <w:r w:rsidR="005D0B42" w:rsidRPr="0015768B">
              <w:rPr>
                <w:lang w:val="en-GB"/>
              </w:rPr>
              <w:t xml:space="preserve"> of active substances belonging to [</w:t>
            </w:r>
            <w:r w:rsidR="005D0B42" w:rsidRPr="00944D77">
              <w:rPr>
                <w:highlight w:val="green"/>
                <w:lang w:val="en-GB"/>
              </w:rPr>
              <w:t>add number</w:t>
            </w:r>
            <w:r w:rsidR="005D0B42" w:rsidRPr="0015768B">
              <w:rPr>
                <w:lang w:val="en-GB"/>
              </w:rPr>
              <w:t xml:space="preserve">] </w:t>
            </w:r>
            <w:r w:rsidR="00A95766" w:rsidRPr="0015768B">
              <w:rPr>
                <w:lang w:val="en-GB"/>
              </w:rPr>
              <w:t xml:space="preserve">investigational </w:t>
            </w:r>
            <w:r w:rsidR="00FC774F" w:rsidRPr="0015768B">
              <w:rPr>
                <w:lang w:val="en-GB"/>
              </w:rPr>
              <w:t xml:space="preserve">medicinal </w:t>
            </w:r>
            <w:r w:rsidR="00A95766" w:rsidRPr="0015768B">
              <w:rPr>
                <w:lang w:val="en-GB"/>
              </w:rPr>
              <w:t xml:space="preserve">product(s) </w:t>
            </w:r>
            <w:r w:rsidR="000E32D7" w:rsidRPr="0015768B">
              <w:rPr>
                <w:lang w:val="en-GB"/>
              </w:rPr>
              <w:t xml:space="preserve">(IMPs) </w:t>
            </w:r>
            <w:r w:rsidR="00A95766" w:rsidRPr="0015768B">
              <w:rPr>
                <w:lang w:val="en-GB"/>
              </w:rPr>
              <w:t xml:space="preserve">from </w:t>
            </w:r>
            <w:r w:rsidR="008C52C1" w:rsidRPr="0015768B">
              <w:rPr>
                <w:lang w:val="en-GB"/>
              </w:rPr>
              <w:t>an</w:t>
            </w:r>
            <w:r w:rsidR="00CB045F" w:rsidRPr="0015768B">
              <w:rPr>
                <w:lang w:val="en-GB"/>
              </w:rPr>
              <w:t xml:space="preserve"> </w:t>
            </w:r>
            <w:r w:rsidR="00700C9C" w:rsidRPr="0015768B">
              <w:rPr>
                <w:lang w:val="en-GB"/>
              </w:rPr>
              <w:t xml:space="preserve">investigator initiated </w:t>
            </w:r>
            <w:r w:rsidRPr="0015768B">
              <w:rPr>
                <w:lang w:val="en-GB"/>
              </w:rPr>
              <w:t>clinical trial.</w:t>
            </w:r>
            <w:r w:rsidR="003661F6" w:rsidRPr="0015768B">
              <w:rPr>
                <w:lang w:val="en-GB"/>
              </w:rPr>
              <w:t xml:space="preserve"> The principal investigator has no access to information from other sponsors conducting trials with the same IMPs.</w:t>
            </w:r>
          </w:p>
          <w:p w14:paraId="64CDBE68" w14:textId="09EE5531" w:rsidR="008D0EA4" w:rsidRPr="0015768B" w:rsidRDefault="008D0EA4" w:rsidP="008D0EA4">
            <w:pPr>
              <w:pStyle w:val="Luettelokappale"/>
              <w:numPr>
                <w:ilvl w:val="0"/>
                <w:numId w:val="1"/>
              </w:numPr>
              <w:rPr>
                <w:lang w:val="en-GB"/>
              </w:rPr>
            </w:pPr>
            <w:r w:rsidRPr="0015768B">
              <w:rPr>
                <w:lang w:val="en-GB"/>
              </w:rPr>
              <w:t xml:space="preserve">This </w:t>
            </w:r>
            <w:r w:rsidR="000A0BD0">
              <w:rPr>
                <w:lang w:val="en-GB"/>
              </w:rPr>
              <w:t>ASR</w:t>
            </w:r>
            <w:r w:rsidRPr="0015768B">
              <w:rPr>
                <w:lang w:val="en-GB"/>
              </w:rPr>
              <w:t xml:space="preserve"> Report contains confidential information</w:t>
            </w:r>
          </w:p>
          <w:p w14:paraId="440E7E2A" w14:textId="77777777" w:rsidR="008D0EA4" w:rsidRPr="0015768B" w:rsidRDefault="008D0EA4" w:rsidP="00B365F9">
            <w:pPr>
              <w:pStyle w:val="Luettelokappale"/>
              <w:numPr>
                <w:ilvl w:val="0"/>
                <w:numId w:val="1"/>
              </w:numPr>
              <w:rPr>
                <w:i/>
                <w:lang w:val="en-GB"/>
              </w:rPr>
            </w:pPr>
            <w:r w:rsidRPr="0015768B">
              <w:rPr>
                <w:lang w:val="en-GB"/>
              </w:rPr>
              <w:t>This report includes unbl</w:t>
            </w:r>
            <w:r w:rsidR="00B365F9" w:rsidRPr="0015768B">
              <w:rPr>
                <w:lang w:val="en-GB"/>
              </w:rPr>
              <w:t>i</w:t>
            </w:r>
            <w:r w:rsidRPr="0015768B">
              <w:rPr>
                <w:lang w:val="en-GB"/>
              </w:rPr>
              <w:t>nded adverse event data</w:t>
            </w:r>
            <w:r w:rsidR="00CB045F" w:rsidRPr="0015768B">
              <w:rPr>
                <w:lang w:val="en-GB"/>
              </w:rPr>
              <w:t>, if applicable.</w:t>
            </w:r>
          </w:p>
        </w:tc>
      </w:tr>
    </w:tbl>
    <w:p w14:paraId="6A01713F" w14:textId="77777777" w:rsidR="00690D7E" w:rsidRPr="0015768B" w:rsidRDefault="00690D7E" w:rsidP="004148E1">
      <w:pPr>
        <w:rPr>
          <w:lang w:val="en-GB"/>
        </w:rPr>
      </w:pPr>
    </w:p>
    <w:p w14:paraId="546276E5" w14:textId="77777777" w:rsidR="00690D7E" w:rsidRPr="0015768B" w:rsidRDefault="00690D7E">
      <w:pPr>
        <w:rPr>
          <w:lang w:val="en-GB"/>
        </w:rPr>
      </w:pPr>
      <w:r w:rsidRPr="0015768B">
        <w:rPr>
          <w:lang w:val="en-GB"/>
        </w:rPr>
        <w:br w:type="page"/>
      </w:r>
    </w:p>
    <w:p w14:paraId="60781671" w14:textId="77777777" w:rsidR="00B2687D" w:rsidRPr="0015768B" w:rsidRDefault="00B2687D" w:rsidP="00690D7E">
      <w:pPr>
        <w:pStyle w:val="Otsikko1"/>
        <w:rPr>
          <w:lang w:val="en-GB"/>
        </w:rPr>
      </w:pPr>
      <w:bookmarkStart w:id="7" w:name="_Toc129683692"/>
      <w:r w:rsidRPr="0015768B">
        <w:rPr>
          <w:lang w:val="en-GB"/>
        </w:rPr>
        <w:lastRenderedPageBreak/>
        <w:t>Abbreviations</w:t>
      </w:r>
      <w:bookmarkEnd w:id="7"/>
    </w:p>
    <w:p w14:paraId="7A01D26D" w14:textId="77777777" w:rsidR="00512BEE" w:rsidRPr="0015768B" w:rsidRDefault="0097544E" w:rsidP="00B2687D">
      <w:pPr>
        <w:rPr>
          <w:lang w:val="en-GB"/>
        </w:rPr>
      </w:pPr>
      <w:r w:rsidRPr="0015768B">
        <w:rPr>
          <w:lang w:val="en-GB"/>
        </w:rPr>
        <w:br/>
      </w:r>
      <w:proofErr w:type="spellStart"/>
      <w:r w:rsidR="00512BEE" w:rsidRPr="0015768B">
        <w:rPr>
          <w:lang w:val="en-GB"/>
        </w:rPr>
        <w:t>AxMP</w:t>
      </w:r>
      <w:proofErr w:type="spellEnd"/>
      <w:r w:rsidR="00512BEE" w:rsidRPr="0015768B">
        <w:rPr>
          <w:lang w:val="en-GB"/>
        </w:rPr>
        <w:tab/>
      </w:r>
      <w:r w:rsidR="00512BEE" w:rsidRPr="0015768B">
        <w:rPr>
          <w:lang w:val="en-GB"/>
        </w:rPr>
        <w:tab/>
        <w:t>Auxiliary Medicinal Product</w:t>
      </w:r>
    </w:p>
    <w:p w14:paraId="2A0F6796" w14:textId="4735543A" w:rsidR="001B5510" w:rsidRDefault="001B5510" w:rsidP="00B2687D">
      <w:pPr>
        <w:rPr>
          <w:lang w:val="en-GB"/>
        </w:rPr>
      </w:pPr>
      <w:r>
        <w:rPr>
          <w:lang w:val="en-GB"/>
        </w:rPr>
        <w:t>ASR</w:t>
      </w:r>
      <w:r>
        <w:rPr>
          <w:lang w:val="en-GB"/>
        </w:rPr>
        <w:tab/>
      </w:r>
      <w:r>
        <w:rPr>
          <w:lang w:val="en-GB"/>
        </w:rPr>
        <w:tab/>
        <w:t>Annual safety report</w:t>
      </w:r>
    </w:p>
    <w:p w14:paraId="32F29696" w14:textId="708499DB" w:rsidR="0097544E" w:rsidRPr="0015768B" w:rsidRDefault="0097544E" w:rsidP="00B2687D">
      <w:pPr>
        <w:rPr>
          <w:lang w:val="en-GB"/>
        </w:rPr>
      </w:pPr>
      <w:r w:rsidRPr="0015768B">
        <w:rPr>
          <w:lang w:val="en-GB"/>
        </w:rPr>
        <w:t>CA</w:t>
      </w:r>
      <w:r w:rsidRPr="0015768B">
        <w:rPr>
          <w:lang w:val="en-GB"/>
        </w:rPr>
        <w:tab/>
      </w:r>
      <w:r w:rsidRPr="0015768B">
        <w:rPr>
          <w:lang w:val="en-GB"/>
        </w:rPr>
        <w:tab/>
        <w:t>Competent Authority</w:t>
      </w:r>
    </w:p>
    <w:p w14:paraId="1F87BD0E" w14:textId="77777777" w:rsidR="00890D0C" w:rsidRPr="0015768B" w:rsidRDefault="00890D0C" w:rsidP="00B2687D">
      <w:pPr>
        <w:rPr>
          <w:lang w:val="en-GB"/>
        </w:rPr>
      </w:pPr>
      <w:r w:rsidRPr="0015768B">
        <w:rPr>
          <w:lang w:val="en-GB"/>
        </w:rPr>
        <w:t>DMC</w:t>
      </w:r>
      <w:r w:rsidRPr="0015768B">
        <w:rPr>
          <w:lang w:val="en-GB"/>
        </w:rPr>
        <w:tab/>
      </w:r>
      <w:r w:rsidRPr="0015768B">
        <w:rPr>
          <w:lang w:val="en-GB"/>
        </w:rPr>
        <w:tab/>
        <w:t xml:space="preserve">Data Monitoring Committee </w:t>
      </w:r>
    </w:p>
    <w:p w14:paraId="356C7D48" w14:textId="77777777" w:rsidR="00890D0C" w:rsidRPr="0015768B" w:rsidRDefault="00890D0C" w:rsidP="00890D0C">
      <w:pPr>
        <w:rPr>
          <w:lang w:val="en-GB"/>
        </w:rPr>
      </w:pPr>
      <w:r w:rsidRPr="0015768B">
        <w:rPr>
          <w:lang w:val="en-GB"/>
        </w:rPr>
        <w:t>DSUR</w:t>
      </w:r>
      <w:r w:rsidRPr="0015768B">
        <w:rPr>
          <w:lang w:val="en-GB"/>
        </w:rPr>
        <w:tab/>
      </w:r>
      <w:r w:rsidRPr="0015768B">
        <w:rPr>
          <w:lang w:val="en-GB"/>
        </w:rPr>
        <w:tab/>
        <w:t xml:space="preserve">Development </w:t>
      </w:r>
      <w:r w:rsidR="005D0B42" w:rsidRPr="0015768B">
        <w:rPr>
          <w:lang w:val="en-GB"/>
        </w:rPr>
        <w:t>Safety Update Report</w:t>
      </w:r>
    </w:p>
    <w:p w14:paraId="1E0EF9AB" w14:textId="77777777" w:rsidR="0097544E" w:rsidRPr="0015768B" w:rsidRDefault="0097544E" w:rsidP="00B2687D">
      <w:pPr>
        <w:rPr>
          <w:lang w:val="en-GB"/>
        </w:rPr>
      </w:pPr>
      <w:r w:rsidRPr="0015768B">
        <w:rPr>
          <w:lang w:val="en-GB"/>
        </w:rPr>
        <w:t>IMP</w:t>
      </w:r>
      <w:r w:rsidRPr="0015768B">
        <w:rPr>
          <w:lang w:val="en-GB"/>
        </w:rPr>
        <w:tab/>
      </w:r>
      <w:r w:rsidRPr="0015768B">
        <w:rPr>
          <w:lang w:val="en-GB"/>
        </w:rPr>
        <w:tab/>
        <w:t>Investigational Medicinal Product</w:t>
      </w:r>
    </w:p>
    <w:p w14:paraId="3F8CC5AD" w14:textId="77777777" w:rsidR="00890D0C" w:rsidRPr="0015768B" w:rsidRDefault="00890D0C" w:rsidP="00B2687D">
      <w:pPr>
        <w:rPr>
          <w:lang w:val="en-GB"/>
        </w:rPr>
      </w:pPr>
      <w:r w:rsidRPr="0015768B">
        <w:rPr>
          <w:lang w:val="en-GB"/>
        </w:rPr>
        <w:t>Med</w:t>
      </w:r>
      <w:r w:rsidR="00A13589" w:rsidRPr="0015768B">
        <w:rPr>
          <w:lang w:val="en-GB"/>
        </w:rPr>
        <w:t>D</w:t>
      </w:r>
      <w:r w:rsidRPr="0015768B">
        <w:rPr>
          <w:lang w:val="en-GB"/>
        </w:rPr>
        <w:t xml:space="preserve">RA </w:t>
      </w:r>
      <w:r w:rsidRPr="0015768B">
        <w:rPr>
          <w:lang w:val="en-GB"/>
        </w:rPr>
        <w:tab/>
        <w:t>Medical Dictionary for Regulatory Activities</w:t>
      </w:r>
    </w:p>
    <w:p w14:paraId="16884C4D" w14:textId="77777777" w:rsidR="0097544E" w:rsidRPr="0015768B" w:rsidRDefault="0097544E" w:rsidP="00B2687D">
      <w:pPr>
        <w:rPr>
          <w:lang w:val="en-GB"/>
        </w:rPr>
      </w:pPr>
      <w:r w:rsidRPr="0015768B">
        <w:rPr>
          <w:lang w:val="en-GB"/>
        </w:rPr>
        <w:t>RSI</w:t>
      </w:r>
      <w:r w:rsidRPr="0015768B">
        <w:rPr>
          <w:lang w:val="en-GB"/>
        </w:rPr>
        <w:tab/>
      </w:r>
      <w:r w:rsidRPr="0015768B">
        <w:rPr>
          <w:lang w:val="en-GB"/>
        </w:rPr>
        <w:tab/>
        <w:t>Reference Safety Information</w:t>
      </w:r>
    </w:p>
    <w:p w14:paraId="05E3E045" w14:textId="77777777" w:rsidR="0097544E" w:rsidRPr="0015768B" w:rsidRDefault="0097544E" w:rsidP="00B2687D">
      <w:pPr>
        <w:rPr>
          <w:lang w:val="en-GB"/>
        </w:rPr>
      </w:pPr>
      <w:r w:rsidRPr="0015768B">
        <w:rPr>
          <w:lang w:val="en-GB"/>
        </w:rPr>
        <w:t>SAE</w:t>
      </w:r>
      <w:r w:rsidRPr="0015768B">
        <w:rPr>
          <w:lang w:val="en-GB"/>
        </w:rPr>
        <w:tab/>
      </w:r>
      <w:r w:rsidRPr="0015768B">
        <w:rPr>
          <w:lang w:val="en-GB"/>
        </w:rPr>
        <w:tab/>
        <w:t>Serious Adverse Event</w:t>
      </w:r>
    </w:p>
    <w:p w14:paraId="121F76AF" w14:textId="77777777" w:rsidR="00CD03CD" w:rsidRPr="0015768B" w:rsidRDefault="0097544E" w:rsidP="00B2687D">
      <w:pPr>
        <w:rPr>
          <w:lang w:val="en-GB"/>
        </w:rPr>
      </w:pPr>
      <w:r w:rsidRPr="0015768B">
        <w:rPr>
          <w:lang w:val="en-GB"/>
        </w:rPr>
        <w:t>SAR</w:t>
      </w:r>
      <w:r w:rsidRPr="0015768B">
        <w:rPr>
          <w:lang w:val="en-GB"/>
        </w:rPr>
        <w:tab/>
      </w:r>
      <w:r w:rsidRPr="0015768B">
        <w:rPr>
          <w:lang w:val="en-GB"/>
        </w:rPr>
        <w:tab/>
        <w:t>Serious Adverse Reaction</w:t>
      </w:r>
    </w:p>
    <w:p w14:paraId="5C18D337" w14:textId="77777777" w:rsidR="00B2687D" w:rsidRPr="0015768B" w:rsidRDefault="00CD03CD" w:rsidP="00B2687D">
      <w:pPr>
        <w:rPr>
          <w:rFonts w:asciiTheme="majorHAnsi" w:eastAsiaTheme="majorEastAsia" w:hAnsiTheme="majorHAnsi"/>
          <w:color w:val="365F91" w:themeColor="accent1" w:themeShade="BF"/>
          <w:sz w:val="28"/>
          <w:szCs w:val="28"/>
          <w:lang w:val="en-GB"/>
        </w:rPr>
      </w:pPr>
      <w:r w:rsidRPr="0015768B">
        <w:rPr>
          <w:lang w:val="en-GB"/>
        </w:rPr>
        <w:t>S</w:t>
      </w:r>
      <w:r w:rsidR="00890D0C" w:rsidRPr="0015768B">
        <w:rPr>
          <w:lang w:val="en-GB"/>
        </w:rPr>
        <w:t>m</w:t>
      </w:r>
      <w:r w:rsidRPr="0015768B">
        <w:rPr>
          <w:lang w:val="en-GB"/>
        </w:rPr>
        <w:t>PC</w:t>
      </w:r>
      <w:r w:rsidRPr="0015768B">
        <w:rPr>
          <w:lang w:val="en-GB"/>
        </w:rPr>
        <w:tab/>
      </w:r>
      <w:r w:rsidRPr="0015768B">
        <w:rPr>
          <w:lang w:val="en-GB"/>
        </w:rPr>
        <w:tab/>
        <w:t>Summary of Product Characteristics</w:t>
      </w:r>
      <w:r w:rsidR="00B2687D" w:rsidRPr="0015768B">
        <w:rPr>
          <w:lang w:val="en-GB"/>
        </w:rPr>
        <w:br w:type="page"/>
      </w:r>
    </w:p>
    <w:p w14:paraId="3F6BD54C" w14:textId="77777777" w:rsidR="00E64FFE" w:rsidRPr="0015768B" w:rsidRDefault="00690D7E" w:rsidP="00690D7E">
      <w:pPr>
        <w:pStyle w:val="Otsikko1"/>
        <w:rPr>
          <w:lang w:val="en-GB"/>
        </w:rPr>
      </w:pPr>
      <w:bookmarkStart w:id="8" w:name="_Toc129683693"/>
      <w:commentRangeStart w:id="9"/>
      <w:r w:rsidRPr="0015768B">
        <w:rPr>
          <w:lang w:val="en-GB"/>
        </w:rPr>
        <w:lastRenderedPageBreak/>
        <w:t>Executive Summary</w:t>
      </w:r>
      <w:commentRangeEnd w:id="9"/>
      <w:r w:rsidR="00B3141F" w:rsidRPr="0015768B">
        <w:rPr>
          <w:rStyle w:val="Kommentinviite"/>
          <w:rFonts w:ascii="Segoe UI" w:hAnsi="Segoe UI"/>
          <w:b w:val="0"/>
          <w:bCs w:val="0"/>
          <w:color w:val="auto"/>
          <w:lang w:val="en-GB"/>
        </w:rPr>
        <w:commentReference w:id="9"/>
      </w:r>
      <w:bookmarkEnd w:id="8"/>
    </w:p>
    <w:p w14:paraId="61CE4898" w14:textId="77777777" w:rsidR="00E90F43" w:rsidRDefault="00E90F43" w:rsidP="00E64FFE">
      <w:pPr>
        <w:rPr>
          <w:lang w:val="en-GB"/>
        </w:rPr>
      </w:pPr>
    </w:p>
    <w:p w14:paraId="3380FB1D" w14:textId="6B9521DE" w:rsidR="00E90F43" w:rsidRPr="006137E3" w:rsidRDefault="00E90F43" w:rsidP="00E90F43">
      <w:pPr>
        <w:rPr>
          <w:i/>
          <w:color w:val="D99594" w:themeColor="accent2" w:themeTint="99"/>
          <w:lang w:val="en-GB"/>
        </w:rPr>
      </w:pPr>
      <w:r w:rsidRPr="006137E3">
        <w:rPr>
          <w:i/>
          <w:color w:val="D99594" w:themeColor="accent2" w:themeTint="99"/>
          <w:lang w:val="en-GB"/>
        </w:rPr>
        <w:t xml:space="preserve">&lt; </w:t>
      </w:r>
      <w:r w:rsidR="00242C0E" w:rsidRPr="006137E3">
        <w:rPr>
          <w:i/>
          <w:color w:val="D99594" w:themeColor="accent2" w:themeTint="99"/>
          <w:lang w:val="en-GB"/>
        </w:rPr>
        <w:t>The following information should be included</w:t>
      </w:r>
      <w:r w:rsidRPr="006137E3">
        <w:rPr>
          <w:i/>
          <w:color w:val="D99594" w:themeColor="accent2" w:themeTint="99"/>
          <w:lang w:val="en-GB"/>
        </w:rPr>
        <w:t>:</w:t>
      </w:r>
    </w:p>
    <w:p w14:paraId="0BF2EBEC" w14:textId="77B786E7" w:rsidR="00D71A79" w:rsidRPr="006137E3" w:rsidRDefault="00D71A79" w:rsidP="00E90F43">
      <w:pPr>
        <w:pStyle w:val="Luettelokappale"/>
        <w:numPr>
          <w:ilvl w:val="0"/>
          <w:numId w:val="1"/>
        </w:numPr>
        <w:rPr>
          <w:i/>
          <w:color w:val="D99594" w:themeColor="accent2" w:themeTint="99"/>
          <w:lang w:val="en-GB"/>
        </w:rPr>
      </w:pPr>
      <w:r w:rsidRPr="006137E3">
        <w:rPr>
          <w:i/>
          <w:color w:val="D99594" w:themeColor="accent2" w:themeTint="99"/>
        </w:rPr>
        <w:t>Introduction – report number and reporting period</w:t>
      </w:r>
    </w:p>
    <w:p w14:paraId="762E5D8D" w14:textId="3FDFE8CE" w:rsidR="00E90F43" w:rsidRPr="006137E3" w:rsidRDefault="00E90F43" w:rsidP="00E90F43">
      <w:pPr>
        <w:pStyle w:val="Luettelokappale"/>
        <w:numPr>
          <w:ilvl w:val="0"/>
          <w:numId w:val="1"/>
        </w:numPr>
        <w:rPr>
          <w:i/>
          <w:color w:val="D99594" w:themeColor="accent2" w:themeTint="99"/>
          <w:lang w:val="en-GB"/>
        </w:rPr>
      </w:pPr>
      <w:r w:rsidRPr="006137E3">
        <w:rPr>
          <w:i/>
          <w:color w:val="D99594" w:themeColor="accent2" w:themeTint="99"/>
          <w:lang w:val="en-GB"/>
        </w:rPr>
        <w:t>Active substance</w:t>
      </w:r>
      <w:r w:rsidR="007F37CD" w:rsidRPr="006137E3">
        <w:rPr>
          <w:i/>
          <w:color w:val="D99594" w:themeColor="accent2" w:themeTint="99"/>
          <w:lang w:val="en-GB"/>
        </w:rPr>
        <w:t>s</w:t>
      </w:r>
      <w:r w:rsidRPr="006137E3">
        <w:rPr>
          <w:i/>
          <w:color w:val="D99594" w:themeColor="accent2" w:themeTint="99"/>
          <w:lang w:val="en-GB"/>
        </w:rPr>
        <w:t xml:space="preserve"> used as Investigational drug(s) – mode(s) of action, therapeutic class(es), dose(s), route(s) of administration, formulation(s)</w:t>
      </w:r>
    </w:p>
    <w:p w14:paraId="40E413D4" w14:textId="77777777" w:rsidR="00DD3812" w:rsidRPr="006137E3" w:rsidRDefault="00DD3812" w:rsidP="00E90F43">
      <w:pPr>
        <w:pStyle w:val="Luettelokappale"/>
        <w:numPr>
          <w:ilvl w:val="0"/>
          <w:numId w:val="1"/>
        </w:numPr>
        <w:rPr>
          <w:i/>
          <w:color w:val="D99594" w:themeColor="accent2" w:themeTint="99"/>
          <w:lang w:val="en-GB"/>
        </w:rPr>
      </w:pPr>
      <w:r w:rsidRPr="006137E3">
        <w:rPr>
          <w:i/>
          <w:color w:val="D99594" w:themeColor="accent2" w:themeTint="99"/>
        </w:rPr>
        <w:t>Estimated cumulative exposure of clinical trial subjects</w:t>
      </w:r>
    </w:p>
    <w:p w14:paraId="1A0965A3" w14:textId="2048E029" w:rsidR="00B07001" w:rsidRPr="006137E3" w:rsidRDefault="00B07001" w:rsidP="00E90F43">
      <w:pPr>
        <w:pStyle w:val="Luettelokappale"/>
        <w:numPr>
          <w:ilvl w:val="0"/>
          <w:numId w:val="1"/>
        </w:numPr>
        <w:rPr>
          <w:i/>
          <w:color w:val="D99594" w:themeColor="accent2" w:themeTint="99"/>
          <w:lang w:val="en-GB"/>
        </w:rPr>
      </w:pPr>
      <w:r w:rsidRPr="006137E3">
        <w:rPr>
          <w:i/>
          <w:color w:val="D99594" w:themeColor="accent2" w:themeTint="99"/>
        </w:rPr>
        <w:t xml:space="preserve">Summary of overall safety assessment (based on section 18 of the </w:t>
      </w:r>
      <w:r w:rsidR="00D136B2" w:rsidRPr="006137E3">
        <w:rPr>
          <w:i/>
          <w:color w:val="D99594" w:themeColor="accent2" w:themeTint="99"/>
        </w:rPr>
        <w:t>ASR</w:t>
      </w:r>
      <w:r w:rsidRPr="006137E3">
        <w:rPr>
          <w:i/>
          <w:color w:val="D99594" w:themeColor="accent2" w:themeTint="99"/>
        </w:rPr>
        <w:t>)</w:t>
      </w:r>
    </w:p>
    <w:p w14:paraId="56A9E465" w14:textId="70D2BBA1" w:rsidR="00D136B2" w:rsidRPr="006137E3" w:rsidRDefault="00D136B2" w:rsidP="00D136B2">
      <w:pPr>
        <w:pStyle w:val="Luettelokappale"/>
        <w:numPr>
          <w:ilvl w:val="0"/>
          <w:numId w:val="1"/>
        </w:numPr>
        <w:rPr>
          <w:i/>
          <w:color w:val="D99594" w:themeColor="accent2" w:themeTint="99"/>
          <w:lang w:val="en-GB"/>
        </w:rPr>
      </w:pPr>
      <w:r w:rsidRPr="006137E3">
        <w:rPr>
          <w:i/>
          <w:color w:val="D99594" w:themeColor="accent2" w:themeTint="99"/>
          <w:lang w:val="en-GB"/>
        </w:rPr>
        <w:t xml:space="preserve">Summary of important risks (based on section 19 of the ASR); </w:t>
      </w:r>
    </w:p>
    <w:p w14:paraId="4EABE296" w14:textId="45146C5D" w:rsidR="00D136B2" w:rsidRPr="006137E3" w:rsidRDefault="00D136B2" w:rsidP="00D136B2">
      <w:pPr>
        <w:pStyle w:val="Luettelokappale"/>
        <w:numPr>
          <w:ilvl w:val="0"/>
          <w:numId w:val="1"/>
        </w:numPr>
        <w:rPr>
          <w:i/>
          <w:color w:val="D99594" w:themeColor="accent2" w:themeTint="99"/>
          <w:lang w:val="en-GB"/>
        </w:rPr>
      </w:pPr>
      <w:r w:rsidRPr="006137E3">
        <w:rPr>
          <w:i/>
          <w:color w:val="D99594" w:themeColor="accent2" w:themeTint="99"/>
          <w:lang w:val="en-GB"/>
        </w:rPr>
        <w:t>Actions taken for safety reasons</w:t>
      </w:r>
    </w:p>
    <w:p w14:paraId="332083E9" w14:textId="54E780DD" w:rsidR="00D136B2" w:rsidRPr="006137E3" w:rsidRDefault="00D136B2" w:rsidP="00D136B2">
      <w:pPr>
        <w:pStyle w:val="Luettelokappale"/>
        <w:numPr>
          <w:ilvl w:val="0"/>
          <w:numId w:val="1"/>
        </w:numPr>
        <w:rPr>
          <w:i/>
          <w:color w:val="D99594" w:themeColor="accent2" w:themeTint="99"/>
          <w:lang w:val="nb-NO"/>
        </w:rPr>
      </w:pPr>
      <w:proofErr w:type="spellStart"/>
      <w:r w:rsidRPr="006137E3">
        <w:rPr>
          <w:i/>
          <w:color w:val="D99594" w:themeColor="accent2" w:themeTint="99"/>
          <w:lang w:val="nb-NO"/>
        </w:rPr>
        <w:t>Conclusions</w:t>
      </w:r>
      <w:proofErr w:type="spellEnd"/>
    </w:p>
    <w:p w14:paraId="2CC00566" w14:textId="77777777" w:rsidR="006A5960" w:rsidRPr="006137E3" w:rsidRDefault="006A5960" w:rsidP="006A5960">
      <w:pPr>
        <w:pStyle w:val="Luettelokappale"/>
        <w:rPr>
          <w:i/>
          <w:color w:val="D99594" w:themeColor="accent2" w:themeTint="99"/>
          <w:lang w:val="nb-NO"/>
        </w:rPr>
      </w:pPr>
    </w:p>
    <w:p w14:paraId="7D5E5291" w14:textId="1A49AA2A" w:rsidR="009126F1" w:rsidRPr="006137E3" w:rsidRDefault="009126F1" w:rsidP="00D136B2">
      <w:pPr>
        <w:pStyle w:val="Luettelokappale"/>
        <w:numPr>
          <w:ilvl w:val="0"/>
          <w:numId w:val="1"/>
        </w:numPr>
        <w:rPr>
          <w:i/>
          <w:color w:val="D99594" w:themeColor="accent2" w:themeTint="99"/>
          <w:lang w:val="en-GB"/>
        </w:rPr>
      </w:pPr>
      <w:r w:rsidRPr="006137E3">
        <w:rPr>
          <w:i/>
          <w:color w:val="D99594" w:themeColor="accent2" w:themeTint="99"/>
          <w:lang w:val="en-GB"/>
        </w:rPr>
        <w:t>A brief description and explanation of any information that has not been included in the ASR (e.g., when written agreements with a partner do not provide for exchange of all safety data)</w:t>
      </w:r>
      <w:r w:rsidR="00310D7A" w:rsidRPr="006137E3">
        <w:rPr>
          <w:i/>
          <w:color w:val="D99594" w:themeColor="accent2" w:themeTint="99"/>
          <w:lang w:val="en-GB"/>
        </w:rPr>
        <w:t>&gt;</w:t>
      </w:r>
    </w:p>
    <w:p w14:paraId="7B4A8011" w14:textId="77777777" w:rsidR="002B01A0" w:rsidRPr="002B01A0" w:rsidRDefault="002B01A0" w:rsidP="002B01A0">
      <w:pPr>
        <w:pStyle w:val="Luettelokappale"/>
        <w:rPr>
          <w:i/>
          <w:color w:val="E5B8B7" w:themeColor="accent2" w:themeTint="66"/>
          <w:highlight w:val="cyan"/>
          <w:lang w:val="en-GB"/>
        </w:rPr>
      </w:pPr>
    </w:p>
    <w:p w14:paraId="39BF4F1B" w14:textId="1C299CD4" w:rsidR="002B01A0" w:rsidRPr="002B01A0" w:rsidRDefault="002B01A0" w:rsidP="002B01A0">
      <w:pPr>
        <w:pStyle w:val="Luettelokappale"/>
        <w:rPr>
          <w:iCs/>
          <w:lang w:val="en-GB"/>
        </w:rPr>
      </w:pPr>
      <w:r w:rsidRPr="002B01A0">
        <w:rPr>
          <w:iCs/>
        </w:rPr>
        <w:t>This ASR contains safety information about the [</w:t>
      </w:r>
      <w:r w:rsidRPr="002B01A0">
        <w:rPr>
          <w:iCs/>
          <w:highlight w:val="green"/>
        </w:rPr>
        <w:t>Active substance(s)</w:t>
      </w:r>
      <w:r w:rsidRPr="002B01A0">
        <w:rPr>
          <w:iCs/>
        </w:rPr>
        <w:t>] from an investigator-initiated clinical trial. The Sponsor is not the market</w:t>
      </w:r>
      <w:r w:rsidR="0026547E">
        <w:rPr>
          <w:iCs/>
        </w:rPr>
        <w:t>ing</w:t>
      </w:r>
      <w:r w:rsidRPr="002B01A0">
        <w:rPr>
          <w:iCs/>
        </w:rPr>
        <w:t xml:space="preserve"> </w:t>
      </w:r>
      <w:proofErr w:type="spellStart"/>
      <w:r w:rsidRPr="002B01A0">
        <w:rPr>
          <w:iCs/>
        </w:rPr>
        <w:t>authorisation</w:t>
      </w:r>
      <w:proofErr w:type="spellEnd"/>
      <w:r w:rsidRPr="002B01A0">
        <w:rPr>
          <w:iCs/>
        </w:rPr>
        <w:t xml:space="preserve"> holder and has thus no access to information on manufacturing issues, non-clinical data, the marketing status or any aspects of the IMP</w:t>
      </w:r>
      <w:r w:rsidR="003A07D3">
        <w:rPr>
          <w:iCs/>
        </w:rPr>
        <w:t>’</w:t>
      </w:r>
      <w:r w:rsidRPr="002B01A0">
        <w:rPr>
          <w:iCs/>
        </w:rPr>
        <w:t>s development beyond the clinical trial(s) covered in this ASR.</w:t>
      </w:r>
    </w:p>
    <w:p w14:paraId="6A44E0B0" w14:textId="3E6B63EB" w:rsidR="00E90F43" w:rsidRPr="00242C0E" w:rsidRDefault="00E90F43" w:rsidP="00242C0E">
      <w:pPr>
        <w:rPr>
          <w:lang w:val="en-GB"/>
        </w:rPr>
      </w:pPr>
    </w:p>
    <w:p w14:paraId="26E2A92A" w14:textId="26C4AA84" w:rsidR="00E64FFE" w:rsidRPr="0015768B" w:rsidRDefault="00E64FFE" w:rsidP="00E64FFE">
      <w:pPr>
        <w:rPr>
          <w:rFonts w:asciiTheme="majorHAnsi" w:eastAsiaTheme="majorEastAsia" w:hAnsiTheme="majorHAnsi"/>
          <w:color w:val="365F91" w:themeColor="accent1" w:themeShade="BF"/>
          <w:sz w:val="28"/>
          <w:szCs w:val="28"/>
          <w:lang w:val="en-GB"/>
        </w:rPr>
      </w:pPr>
      <w:r w:rsidRPr="0015768B">
        <w:rPr>
          <w:lang w:val="en-GB"/>
        </w:rPr>
        <w:br w:type="page"/>
      </w:r>
    </w:p>
    <w:p w14:paraId="608080F4" w14:textId="77777777" w:rsidR="000D7368" w:rsidRPr="0015768B" w:rsidRDefault="000D7368">
      <w:pPr>
        <w:pStyle w:val="Sisllysluettelonotsikko"/>
        <w:rPr>
          <w:lang w:val="en-GB"/>
        </w:rPr>
      </w:pPr>
      <w:r w:rsidRPr="0015768B">
        <w:rPr>
          <w:lang w:val="en-GB"/>
        </w:rPr>
        <w:lastRenderedPageBreak/>
        <w:t>Table of Contents</w:t>
      </w:r>
    </w:p>
    <w:p w14:paraId="3CE00288" w14:textId="77777777" w:rsidR="000D7368" w:rsidRPr="0015768B" w:rsidRDefault="000D7368" w:rsidP="000D7368">
      <w:pPr>
        <w:rPr>
          <w:lang w:val="en-GB" w:eastAsia="nl-NL"/>
        </w:rPr>
      </w:pPr>
    </w:p>
    <w:p w14:paraId="78CDF8D7" w14:textId="77777777" w:rsidR="00984BAB" w:rsidRPr="0015768B" w:rsidRDefault="000D7368" w:rsidP="00984BAB">
      <w:pPr>
        <w:pStyle w:val="Sisluet1"/>
        <w:rPr>
          <w:rFonts w:asciiTheme="minorHAnsi" w:eastAsiaTheme="minorEastAsia" w:hAnsiTheme="minorHAnsi"/>
          <w:noProof/>
          <w:lang w:val="en-GB" w:eastAsia="nl-NL"/>
        </w:rPr>
      </w:pPr>
      <w:r w:rsidRPr="0015768B">
        <w:rPr>
          <w:lang w:val="en-GB"/>
        </w:rPr>
        <w:fldChar w:fldCharType="begin"/>
      </w:r>
      <w:r w:rsidRPr="0015768B">
        <w:rPr>
          <w:lang w:val="en-GB"/>
        </w:rPr>
        <w:instrText xml:space="preserve"> TOC \o "1-3" \h \z \u </w:instrText>
      </w:r>
      <w:r w:rsidRPr="0015768B">
        <w:rPr>
          <w:lang w:val="en-GB"/>
        </w:rPr>
        <w:fldChar w:fldCharType="separate"/>
      </w:r>
      <w:hyperlink w:anchor="_Toc129683692" w:history="1">
        <w:r w:rsidR="00984BAB" w:rsidRPr="0015768B">
          <w:rPr>
            <w:rStyle w:val="Hyperlinkki"/>
            <w:noProof/>
            <w:lang w:val="en-GB"/>
          </w:rPr>
          <w:t>Abbreviations</w:t>
        </w:r>
        <w:r w:rsidR="00984BAB" w:rsidRPr="0015768B">
          <w:rPr>
            <w:noProof/>
            <w:webHidden/>
            <w:lang w:val="en-GB"/>
          </w:rPr>
          <w:tab/>
        </w:r>
        <w:r w:rsidR="00984BAB" w:rsidRPr="0015768B">
          <w:rPr>
            <w:noProof/>
            <w:webHidden/>
            <w:lang w:val="en-GB"/>
          </w:rPr>
          <w:fldChar w:fldCharType="begin"/>
        </w:r>
        <w:r w:rsidR="00984BAB" w:rsidRPr="0015768B">
          <w:rPr>
            <w:noProof/>
            <w:webHidden/>
            <w:lang w:val="en-GB"/>
          </w:rPr>
          <w:instrText xml:space="preserve"> PAGEREF _Toc129683692 \h </w:instrText>
        </w:r>
        <w:r w:rsidR="00984BAB" w:rsidRPr="0015768B">
          <w:rPr>
            <w:noProof/>
            <w:webHidden/>
            <w:lang w:val="en-GB"/>
          </w:rPr>
        </w:r>
        <w:r w:rsidR="00984BAB" w:rsidRPr="0015768B">
          <w:rPr>
            <w:noProof/>
            <w:webHidden/>
            <w:lang w:val="en-GB"/>
          </w:rPr>
          <w:fldChar w:fldCharType="separate"/>
        </w:r>
        <w:r w:rsidR="00984BAB" w:rsidRPr="0015768B">
          <w:rPr>
            <w:noProof/>
            <w:webHidden/>
            <w:lang w:val="en-GB"/>
          </w:rPr>
          <w:t>3</w:t>
        </w:r>
        <w:r w:rsidR="00984BAB" w:rsidRPr="0015768B">
          <w:rPr>
            <w:noProof/>
            <w:webHidden/>
            <w:lang w:val="en-GB"/>
          </w:rPr>
          <w:fldChar w:fldCharType="end"/>
        </w:r>
      </w:hyperlink>
    </w:p>
    <w:p w14:paraId="10D03D5B" w14:textId="77777777" w:rsidR="00984BAB" w:rsidRPr="0015768B" w:rsidRDefault="00984BAB" w:rsidP="00984BAB">
      <w:pPr>
        <w:pStyle w:val="Sisluet1"/>
        <w:rPr>
          <w:rFonts w:asciiTheme="minorHAnsi" w:eastAsiaTheme="minorEastAsia" w:hAnsiTheme="minorHAnsi"/>
          <w:noProof/>
          <w:lang w:val="en-GB" w:eastAsia="nl-NL"/>
        </w:rPr>
      </w:pPr>
      <w:hyperlink w:anchor="_Toc129683693" w:history="1">
        <w:r w:rsidRPr="0015768B">
          <w:rPr>
            <w:rStyle w:val="Hyperlinkki"/>
            <w:noProof/>
            <w:lang w:val="en-GB"/>
          </w:rPr>
          <w:t>Executive Summary</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_Toc129683693 \h </w:instrText>
        </w:r>
        <w:r w:rsidRPr="0015768B">
          <w:rPr>
            <w:noProof/>
            <w:webHidden/>
            <w:lang w:val="en-GB"/>
          </w:rPr>
        </w:r>
        <w:r w:rsidRPr="0015768B">
          <w:rPr>
            <w:noProof/>
            <w:webHidden/>
            <w:lang w:val="en-GB"/>
          </w:rPr>
          <w:fldChar w:fldCharType="separate"/>
        </w:r>
        <w:r w:rsidRPr="0015768B">
          <w:rPr>
            <w:noProof/>
            <w:webHidden/>
            <w:lang w:val="en-GB"/>
          </w:rPr>
          <w:t>4</w:t>
        </w:r>
        <w:r w:rsidRPr="0015768B">
          <w:rPr>
            <w:noProof/>
            <w:webHidden/>
            <w:lang w:val="en-GB"/>
          </w:rPr>
          <w:fldChar w:fldCharType="end"/>
        </w:r>
      </w:hyperlink>
    </w:p>
    <w:p w14:paraId="1FCE793E" w14:textId="77777777" w:rsidR="00984BAB" w:rsidRPr="0015768B" w:rsidRDefault="00984BAB" w:rsidP="00984BAB">
      <w:pPr>
        <w:pStyle w:val="Sisluet1"/>
        <w:rPr>
          <w:rFonts w:asciiTheme="minorHAnsi" w:eastAsiaTheme="minorEastAsia" w:hAnsiTheme="minorHAnsi"/>
          <w:noProof/>
          <w:lang w:val="en-GB" w:eastAsia="nl-NL"/>
        </w:rPr>
      </w:pPr>
      <w:hyperlink w:anchor="_Toc129683694" w:history="1">
        <w:r w:rsidRPr="0015768B">
          <w:rPr>
            <w:rStyle w:val="Hyperlinkki"/>
            <w:noProof/>
            <w:lang w:val="en-GB"/>
          </w:rPr>
          <w:t>1. Introduction</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_Toc129683694 \h </w:instrText>
        </w:r>
        <w:r w:rsidRPr="0015768B">
          <w:rPr>
            <w:noProof/>
            <w:webHidden/>
            <w:lang w:val="en-GB"/>
          </w:rPr>
        </w:r>
        <w:r w:rsidRPr="0015768B">
          <w:rPr>
            <w:noProof/>
            <w:webHidden/>
            <w:lang w:val="en-GB"/>
          </w:rPr>
          <w:fldChar w:fldCharType="separate"/>
        </w:r>
        <w:r w:rsidRPr="0015768B">
          <w:rPr>
            <w:noProof/>
            <w:webHidden/>
            <w:lang w:val="en-GB"/>
          </w:rPr>
          <w:t>7</w:t>
        </w:r>
        <w:r w:rsidRPr="0015768B">
          <w:rPr>
            <w:noProof/>
            <w:webHidden/>
            <w:lang w:val="en-GB"/>
          </w:rPr>
          <w:fldChar w:fldCharType="end"/>
        </w:r>
      </w:hyperlink>
    </w:p>
    <w:p w14:paraId="4F0E074E" w14:textId="77777777" w:rsidR="00984BAB" w:rsidRPr="0015768B" w:rsidRDefault="00984BAB" w:rsidP="00984BAB">
      <w:pPr>
        <w:pStyle w:val="Sisluet1"/>
        <w:rPr>
          <w:rFonts w:asciiTheme="minorHAnsi" w:eastAsiaTheme="minorEastAsia" w:hAnsiTheme="minorHAnsi"/>
          <w:noProof/>
          <w:lang w:val="en-GB" w:eastAsia="nl-NL"/>
        </w:rPr>
      </w:pPr>
      <w:hyperlink w:anchor="_Toc129683695" w:history="1">
        <w:r w:rsidRPr="0015768B">
          <w:rPr>
            <w:rStyle w:val="Hyperlinkki"/>
            <w:noProof/>
            <w:lang w:val="en-GB"/>
          </w:rPr>
          <w:t>2. Worldwide marketing approval status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_Toc129683695 \h </w:instrText>
        </w:r>
        <w:r w:rsidRPr="0015768B">
          <w:rPr>
            <w:noProof/>
            <w:webHidden/>
            <w:lang w:val="en-GB"/>
          </w:rPr>
        </w:r>
        <w:r w:rsidRPr="0015768B">
          <w:rPr>
            <w:noProof/>
            <w:webHidden/>
            <w:lang w:val="en-GB"/>
          </w:rPr>
          <w:fldChar w:fldCharType="separate"/>
        </w:r>
        <w:r w:rsidRPr="0015768B">
          <w:rPr>
            <w:noProof/>
            <w:webHidden/>
            <w:lang w:val="en-GB"/>
          </w:rPr>
          <w:t>7</w:t>
        </w:r>
        <w:r w:rsidRPr="0015768B">
          <w:rPr>
            <w:noProof/>
            <w:webHidden/>
            <w:lang w:val="en-GB"/>
          </w:rPr>
          <w:fldChar w:fldCharType="end"/>
        </w:r>
      </w:hyperlink>
    </w:p>
    <w:p w14:paraId="683B159F" w14:textId="77777777" w:rsidR="00984BAB" w:rsidRPr="0015768B" w:rsidRDefault="00984BAB" w:rsidP="00984BAB">
      <w:pPr>
        <w:pStyle w:val="Sisluet1"/>
        <w:rPr>
          <w:rFonts w:asciiTheme="minorHAnsi" w:eastAsiaTheme="minorEastAsia" w:hAnsiTheme="minorHAnsi"/>
          <w:noProof/>
          <w:lang w:val="en-GB" w:eastAsia="nl-NL"/>
        </w:rPr>
      </w:pPr>
      <w:hyperlink w:anchor="_Toc129683696" w:history="1">
        <w:r w:rsidRPr="0015768B">
          <w:rPr>
            <w:rStyle w:val="Hyperlinkki"/>
            <w:noProof/>
            <w:lang w:val="en-GB"/>
          </w:rPr>
          <w:t>3. Actions taken in the reporting period for safety reasons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_Toc129683696 \h </w:instrText>
        </w:r>
        <w:r w:rsidRPr="0015768B">
          <w:rPr>
            <w:noProof/>
            <w:webHidden/>
            <w:lang w:val="en-GB"/>
          </w:rPr>
        </w:r>
        <w:r w:rsidRPr="0015768B">
          <w:rPr>
            <w:noProof/>
            <w:webHidden/>
            <w:lang w:val="en-GB"/>
          </w:rPr>
          <w:fldChar w:fldCharType="separate"/>
        </w:r>
        <w:r w:rsidRPr="0015768B">
          <w:rPr>
            <w:noProof/>
            <w:webHidden/>
            <w:lang w:val="en-GB"/>
          </w:rPr>
          <w:t>7</w:t>
        </w:r>
        <w:r w:rsidRPr="0015768B">
          <w:rPr>
            <w:noProof/>
            <w:webHidden/>
            <w:lang w:val="en-GB"/>
          </w:rPr>
          <w:fldChar w:fldCharType="end"/>
        </w:r>
      </w:hyperlink>
    </w:p>
    <w:p w14:paraId="3DB9703E" w14:textId="77777777" w:rsidR="00984BAB" w:rsidRPr="0015768B" w:rsidRDefault="00984BAB" w:rsidP="00984BAB">
      <w:pPr>
        <w:pStyle w:val="Sisluet1"/>
        <w:rPr>
          <w:rFonts w:asciiTheme="minorHAnsi" w:eastAsiaTheme="minorEastAsia" w:hAnsiTheme="minorHAnsi"/>
          <w:noProof/>
          <w:lang w:val="en-GB" w:eastAsia="nl-NL"/>
        </w:rPr>
      </w:pPr>
      <w:hyperlink w:anchor="_Toc129683697" w:history="1">
        <w:r w:rsidRPr="0015768B">
          <w:rPr>
            <w:rStyle w:val="Hyperlinkki"/>
            <w:noProof/>
            <w:lang w:val="en-GB"/>
          </w:rPr>
          <w:t>4. Changes to reference safety information</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_Toc129683697 \h </w:instrText>
        </w:r>
        <w:r w:rsidRPr="0015768B">
          <w:rPr>
            <w:noProof/>
            <w:webHidden/>
            <w:lang w:val="en-GB"/>
          </w:rPr>
        </w:r>
        <w:r w:rsidRPr="0015768B">
          <w:rPr>
            <w:noProof/>
            <w:webHidden/>
            <w:lang w:val="en-GB"/>
          </w:rPr>
          <w:fldChar w:fldCharType="separate"/>
        </w:r>
        <w:r w:rsidRPr="0015768B">
          <w:rPr>
            <w:noProof/>
            <w:webHidden/>
            <w:lang w:val="en-GB"/>
          </w:rPr>
          <w:t>8</w:t>
        </w:r>
        <w:r w:rsidRPr="0015768B">
          <w:rPr>
            <w:noProof/>
            <w:webHidden/>
            <w:lang w:val="en-GB"/>
          </w:rPr>
          <w:fldChar w:fldCharType="end"/>
        </w:r>
      </w:hyperlink>
    </w:p>
    <w:p w14:paraId="0E13E18E" w14:textId="77777777" w:rsidR="00984BAB" w:rsidRPr="0015768B" w:rsidRDefault="00984BAB" w:rsidP="00984BAB">
      <w:pPr>
        <w:pStyle w:val="Sisluet1"/>
        <w:rPr>
          <w:rFonts w:asciiTheme="minorHAnsi" w:eastAsiaTheme="minorEastAsia" w:hAnsiTheme="minorHAnsi"/>
          <w:noProof/>
          <w:lang w:val="en-GB" w:eastAsia="nl-NL"/>
        </w:rPr>
      </w:pPr>
      <w:hyperlink w:anchor="_Toc129683698" w:history="1">
        <w:r w:rsidRPr="0015768B">
          <w:rPr>
            <w:rStyle w:val="Hyperlinkki"/>
            <w:noProof/>
            <w:lang w:val="en-GB"/>
          </w:rPr>
          <w:t>5. Inventory of clinical trials ongoing and completed during the reporting period</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_Toc129683698 \h </w:instrText>
        </w:r>
        <w:r w:rsidRPr="0015768B">
          <w:rPr>
            <w:noProof/>
            <w:webHidden/>
            <w:lang w:val="en-GB"/>
          </w:rPr>
        </w:r>
        <w:r w:rsidRPr="0015768B">
          <w:rPr>
            <w:noProof/>
            <w:webHidden/>
            <w:lang w:val="en-GB"/>
          </w:rPr>
          <w:fldChar w:fldCharType="separate"/>
        </w:r>
        <w:r w:rsidRPr="0015768B">
          <w:rPr>
            <w:noProof/>
            <w:webHidden/>
            <w:lang w:val="en-GB"/>
          </w:rPr>
          <w:t>8</w:t>
        </w:r>
        <w:r w:rsidRPr="0015768B">
          <w:rPr>
            <w:noProof/>
            <w:webHidden/>
            <w:lang w:val="en-GB"/>
          </w:rPr>
          <w:fldChar w:fldCharType="end"/>
        </w:r>
      </w:hyperlink>
    </w:p>
    <w:p w14:paraId="2BC0AEB2" w14:textId="77777777" w:rsidR="00984BAB" w:rsidRPr="0015768B" w:rsidRDefault="00984BAB" w:rsidP="00984BAB">
      <w:pPr>
        <w:pStyle w:val="Sisluet1"/>
        <w:rPr>
          <w:rFonts w:asciiTheme="minorHAnsi" w:eastAsiaTheme="minorEastAsia" w:hAnsiTheme="minorHAnsi"/>
          <w:noProof/>
          <w:lang w:val="en-GB" w:eastAsia="nl-NL"/>
        </w:rPr>
      </w:pPr>
      <w:hyperlink w:anchor="_Toc129683699" w:history="1">
        <w:r w:rsidRPr="0015768B">
          <w:rPr>
            <w:rStyle w:val="Hyperlinkki"/>
            <w:noProof/>
            <w:lang w:val="en-GB"/>
          </w:rPr>
          <w:t>6. Estimated cumulative exposure</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_Toc129683699 \h </w:instrText>
        </w:r>
        <w:r w:rsidRPr="0015768B">
          <w:rPr>
            <w:noProof/>
            <w:webHidden/>
            <w:lang w:val="en-GB"/>
          </w:rPr>
        </w:r>
        <w:r w:rsidRPr="0015768B">
          <w:rPr>
            <w:noProof/>
            <w:webHidden/>
            <w:lang w:val="en-GB"/>
          </w:rPr>
          <w:fldChar w:fldCharType="separate"/>
        </w:r>
        <w:r w:rsidRPr="0015768B">
          <w:rPr>
            <w:noProof/>
            <w:webHidden/>
            <w:lang w:val="en-GB"/>
          </w:rPr>
          <w:t>8</w:t>
        </w:r>
        <w:r w:rsidRPr="0015768B">
          <w:rPr>
            <w:noProof/>
            <w:webHidden/>
            <w:lang w:val="en-GB"/>
          </w:rPr>
          <w:fldChar w:fldCharType="end"/>
        </w:r>
      </w:hyperlink>
    </w:p>
    <w:p w14:paraId="19FABFA7"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00" w:history="1">
        <w:r w:rsidRPr="0015768B">
          <w:rPr>
            <w:rStyle w:val="Hyperlinkki"/>
            <w:noProof/>
            <w:lang w:val="en-GB"/>
          </w:rPr>
          <w:t>6.1. Cumulative subject exposure in the study(ies)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_Toc129683700 \h </w:instrText>
        </w:r>
        <w:r w:rsidRPr="0015768B">
          <w:rPr>
            <w:noProof/>
            <w:webHidden/>
            <w:lang w:val="en-GB"/>
          </w:rPr>
        </w:r>
        <w:r w:rsidRPr="0015768B">
          <w:rPr>
            <w:noProof/>
            <w:webHidden/>
            <w:lang w:val="en-GB"/>
          </w:rPr>
          <w:fldChar w:fldCharType="separate"/>
        </w:r>
        <w:r w:rsidRPr="0015768B">
          <w:rPr>
            <w:noProof/>
            <w:webHidden/>
            <w:lang w:val="en-GB"/>
          </w:rPr>
          <w:t>8</w:t>
        </w:r>
        <w:r w:rsidRPr="0015768B">
          <w:rPr>
            <w:noProof/>
            <w:webHidden/>
            <w:lang w:val="en-GB"/>
          </w:rPr>
          <w:fldChar w:fldCharType="end"/>
        </w:r>
      </w:hyperlink>
    </w:p>
    <w:p w14:paraId="43972D1B"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01" w:history="1">
        <w:r w:rsidRPr="0015768B">
          <w:rPr>
            <w:rStyle w:val="Hyperlinkki"/>
            <w:noProof/>
            <w:lang w:val="en-GB"/>
          </w:rPr>
          <w:t xml:space="preserve">6.2. Patient exposure from marketing experience  </w:t>
        </w:r>
        <w:r w:rsidRPr="0015768B">
          <w:rPr>
            <w:rStyle w:val="Hyperlinkki"/>
            <w:iCs/>
            <w:noProof/>
            <w:lang w:val="en-GB"/>
          </w:rPr>
          <w:t>Not applicable. The study drug is not marketed by the sponsor.</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_Toc129683701 \h </w:instrText>
        </w:r>
        <w:r w:rsidRPr="0015768B">
          <w:rPr>
            <w:noProof/>
            <w:webHidden/>
            <w:lang w:val="en-GB"/>
          </w:rPr>
        </w:r>
        <w:r w:rsidRPr="0015768B">
          <w:rPr>
            <w:noProof/>
            <w:webHidden/>
            <w:lang w:val="en-GB"/>
          </w:rPr>
          <w:fldChar w:fldCharType="separate"/>
        </w:r>
        <w:r w:rsidRPr="0015768B">
          <w:rPr>
            <w:noProof/>
            <w:webHidden/>
            <w:lang w:val="en-GB"/>
          </w:rPr>
          <w:t>9</w:t>
        </w:r>
        <w:r w:rsidRPr="0015768B">
          <w:rPr>
            <w:noProof/>
            <w:webHidden/>
            <w:lang w:val="en-GB"/>
          </w:rPr>
          <w:fldChar w:fldCharType="end"/>
        </w:r>
      </w:hyperlink>
    </w:p>
    <w:p w14:paraId="19AA2A92" w14:textId="77777777" w:rsidR="00984BAB" w:rsidRPr="0015768B" w:rsidRDefault="00984BAB" w:rsidP="00984BAB">
      <w:pPr>
        <w:pStyle w:val="Sisluet1"/>
        <w:rPr>
          <w:rFonts w:asciiTheme="minorHAnsi" w:eastAsiaTheme="minorEastAsia" w:hAnsiTheme="minorHAnsi"/>
          <w:noProof/>
          <w:lang w:val="en-GB" w:eastAsia="nl-NL"/>
        </w:rPr>
      </w:pPr>
      <w:hyperlink w:anchor="_Toc129683702" w:history="1">
        <w:r w:rsidRPr="0015768B">
          <w:rPr>
            <w:rStyle w:val="Hyperlinkki"/>
            <w:noProof/>
            <w:lang w:val="en-GB"/>
          </w:rPr>
          <w:t>7. Data in line listings and summary tabulations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_Toc129683702 \h </w:instrText>
        </w:r>
        <w:r w:rsidRPr="0015768B">
          <w:rPr>
            <w:noProof/>
            <w:webHidden/>
            <w:lang w:val="en-GB"/>
          </w:rPr>
        </w:r>
        <w:r w:rsidRPr="0015768B">
          <w:rPr>
            <w:noProof/>
            <w:webHidden/>
            <w:lang w:val="en-GB"/>
          </w:rPr>
          <w:fldChar w:fldCharType="separate"/>
        </w:r>
        <w:r w:rsidRPr="0015768B">
          <w:rPr>
            <w:noProof/>
            <w:webHidden/>
            <w:lang w:val="en-GB"/>
          </w:rPr>
          <w:t>9</w:t>
        </w:r>
        <w:r w:rsidRPr="0015768B">
          <w:rPr>
            <w:noProof/>
            <w:webHidden/>
            <w:lang w:val="en-GB"/>
          </w:rPr>
          <w:fldChar w:fldCharType="end"/>
        </w:r>
      </w:hyperlink>
    </w:p>
    <w:p w14:paraId="302FDAA3"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03" w:history="1">
        <w:r w:rsidRPr="0015768B">
          <w:rPr>
            <w:rStyle w:val="Hyperlinkki"/>
            <w:noProof/>
            <w:lang w:val="en-GB"/>
          </w:rPr>
          <w:t>7.1. Reference information</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_Toc129683703 \h </w:instrText>
        </w:r>
        <w:r w:rsidRPr="0015768B">
          <w:rPr>
            <w:noProof/>
            <w:webHidden/>
            <w:lang w:val="en-GB"/>
          </w:rPr>
        </w:r>
        <w:r w:rsidRPr="0015768B">
          <w:rPr>
            <w:noProof/>
            <w:webHidden/>
            <w:lang w:val="en-GB"/>
          </w:rPr>
          <w:fldChar w:fldCharType="separate"/>
        </w:r>
        <w:r w:rsidRPr="0015768B">
          <w:rPr>
            <w:noProof/>
            <w:webHidden/>
            <w:lang w:val="en-GB"/>
          </w:rPr>
          <w:t>9</w:t>
        </w:r>
        <w:r w:rsidRPr="0015768B">
          <w:rPr>
            <w:noProof/>
            <w:webHidden/>
            <w:lang w:val="en-GB"/>
          </w:rPr>
          <w:fldChar w:fldCharType="end"/>
        </w:r>
      </w:hyperlink>
    </w:p>
    <w:p w14:paraId="36E37083"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04" w:history="1">
        <w:r w:rsidRPr="0015768B">
          <w:rPr>
            <w:rStyle w:val="Hyperlinkki"/>
            <w:noProof/>
            <w:lang w:val="en-GB"/>
          </w:rPr>
          <w:t>7.2. Line listings of serious adverse reactions during the reporting period</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_Toc129683704 \h </w:instrText>
        </w:r>
        <w:r w:rsidRPr="0015768B">
          <w:rPr>
            <w:noProof/>
            <w:webHidden/>
            <w:lang w:val="en-GB"/>
          </w:rPr>
        </w:r>
        <w:r w:rsidRPr="0015768B">
          <w:rPr>
            <w:noProof/>
            <w:webHidden/>
            <w:lang w:val="en-GB"/>
          </w:rPr>
          <w:fldChar w:fldCharType="separate"/>
        </w:r>
        <w:r w:rsidRPr="0015768B">
          <w:rPr>
            <w:noProof/>
            <w:webHidden/>
            <w:lang w:val="en-GB"/>
          </w:rPr>
          <w:t>9</w:t>
        </w:r>
        <w:r w:rsidRPr="0015768B">
          <w:rPr>
            <w:noProof/>
            <w:webHidden/>
            <w:lang w:val="en-GB"/>
          </w:rPr>
          <w:fldChar w:fldCharType="end"/>
        </w:r>
      </w:hyperlink>
    </w:p>
    <w:p w14:paraId="4E602E80"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05" w:history="1">
        <w:r w:rsidRPr="0015768B">
          <w:rPr>
            <w:rStyle w:val="Hyperlinkki"/>
            <w:noProof/>
            <w:lang w:val="en-GB"/>
          </w:rPr>
          <w:t>7.3. Cumulative summary tabulations of serious adverse events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_Toc129683705 \h </w:instrText>
        </w:r>
        <w:r w:rsidRPr="0015768B">
          <w:rPr>
            <w:noProof/>
            <w:webHidden/>
            <w:lang w:val="en-GB"/>
          </w:rPr>
        </w:r>
        <w:r w:rsidRPr="0015768B">
          <w:rPr>
            <w:noProof/>
            <w:webHidden/>
            <w:lang w:val="en-GB"/>
          </w:rPr>
          <w:fldChar w:fldCharType="separate"/>
        </w:r>
        <w:r w:rsidRPr="0015768B">
          <w:rPr>
            <w:noProof/>
            <w:webHidden/>
            <w:lang w:val="en-GB"/>
          </w:rPr>
          <w:t>9</w:t>
        </w:r>
        <w:r w:rsidRPr="0015768B">
          <w:rPr>
            <w:noProof/>
            <w:webHidden/>
            <w:lang w:val="en-GB"/>
          </w:rPr>
          <w:fldChar w:fldCharType="end"/>
        </w:r>
      </w:hyperlink>
    </w:p>
    <w:p w14:paraId="5AE4C754" w14:textId="77777777" w:rsidR="00984BAB" w:rsidRPr="0015768B" w:rsidRDefault="00984BAB" w:rsidP="00984BAB">
      <w:pPr>
        <w:pStyle w:val="Sisluet1"/>
        <w:rPr>
          <w:rFonts w:asciiTheme="minorHAnsi" w:eastAsiaTheme="minorEastAsia" w:hAnsiTheme="minorHAnsi"/>
          <w:noProof/>
          <w:lang w:val="en-GB" w:eastAsia="nl-NL"/>
        </w:rPr>
      </w:pPr>
      <w:hyperlink w:anchor="_Toc129683706" w:history="1">
        <w:r w:rsidRPr="0015768B">
          <w:rPr>
            <w:rStyle w:val="Hyperlinkki"/>
            <w:noProof/>
            <w:lang w:val="en-GB"/>
          </w:rPr>
          <w:t>8. Significant findings from clinical trials during the reporting period</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_Toc129683706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15BFD1C3"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07" w:history="1">
        <w:r w:rsidRPr="0015768B">
          <w:rPr>
            <w:rStyle w:val="Hyperlinkki"/>
            <w:noProof/>
            <w:lang w:val="en-GB"/>
          </w:rPr>
          <w:t>8.1. Completed clinical trials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_Toc129683707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7ADEDD0F"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08" w:history="1">
        <w:r w:rsidRPr="0015768B">
          <w:rPr>
            <w:rStyle w:val="Hyperlinkki"/>
            <w:noProof/>
            <w:lang w:val="en-GB"/>
          </w:rPr>
          <w:t>8.2. Ongoing clinical trials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_Toc129683708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52D383A1"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09" w:history="1">
        <w:r w:rsidRPr="0015768B">
          <w:rPr>
            <w:rStyle w:val="Hyperlinkki"/>
            <w:noProof/>
            <w:lang w:val="en-GB"/>
          </w:rPr>
          <w:t>8.3. Long-term follow-up</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_Toc129683709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176DA902"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10" w:history="1">
        <w:r w:rsidRPr="0015768B">
          <w:rPr>
            <w:rStyle w:val="Hyperlinkki"/>
            <w:noProof/>
            <w:lang w:val="en-GB"/>
          </w:rPr>
          <w:t>8.4. Other therapeutic use of investigational drug</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_Toc129683710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64F96C52"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11" w:history="1">
        <w:r w:rsidRPr="0015768B">
          <w:rPr>
            <w:rStyle w:val="Hyperlinkki"/>
            <w:noProof/>
            <w:lang w:val="en-GB"/>
          </w:rPr>
          <w:t>8.5. New safety data related to combination therapies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_Toc129683711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4FBD6147" w14:textId="77777777" w:rsidR="00984BAB" w:rsidRPr="0015768B" w:rsidRDefault="00984BAB" w:rsidP="00984BAB">
      <w:pPr>
        <w:pStyle w:val="Sisluet1"/>
        <w:rPr>
          <w:rFonts w:asciiTheme="minorHAnsi" w:eastAsiaTheme="minorEastAsia" w:hAnsiTheme="minorHAnsi"/>
          <w:noProof/>
          <w:lang w:val="en-GB" w:eastAsia="nl-NL"/>
        </w:rPr>
      </w:pPr>
      <w:hyperlink w:anchor="_Toc129683712" w:history="1">
        <w:r w:rsidRPr="0015768B">
          <w:rPr>
            <w:rStyle w:val="Hyperlinkki"/>
            <w:noProof/>
            <w:lang w:val="en-GB"/>
          </w:rPr>
          <w:t>9. Safety findings from non-interventional studies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_Toc129683712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2F49B251" w14:textId="77777777" w:rsidR="00984BAB" w:rsidRPr="0015768B" w:rsidRDefault="00984BAB" w:rsidP="00984BAB">
      <w:pPr>
        <w:pStyle w:val="Sisluet1"/>
        <w:rPr>
          <w:rFonts w:asciiTheme="minorHAnsi" w:eastAsiaTheme="minorEastAsia" w:hAnsiTheme="minorHAnsi"/>
          <w:noProof/>
          <w:lang w:val="en-GB" w:eastAsia="nl-NL"/>
        </w:rPr>
      </w:pPr>
      <w:hyperlink w:anchor="_Toc129683713" w:history="1">
        <w:r w:rsidRPr="0015768B">
          <w:rPr>
            <w:rStyle w:val="Hyperlinkki"/>
            <w:noProof/>
            <w:lang w:val="en-GB"/>
          </w:rPr>
          <w:t>10. Other clinical trial/study safety information</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_Toc129683713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394A98E1" w14:textId="77777777" w:rsidR="00984BAB" w:rsidRPr="0015768B" w:rsidRDefault="00984BAB" w:rsidP="00984BAB">
      <w:pPr>
        <w:pStyle w:val="Sisluet1"/>
        <w:rPr>
          <w:rFonts w:asciiTheme="minorHAnsi" w:eastAsiaTheme="minorEastAsia" w:hAnsiTheme="minorHAnsi"/>
          <w:noProof/>
          <w:lang w:val="en-GB" w:eastAsia="nl-NL"/>
        </w:rPr>
      </w:pPr>
      <w:hyperlink w:anchor="_Toc129683714" w:history="1">
        <w:r w:rsidRPr="0015768B">
          <w:rPr>
            <w:rStyle w:val="Hyperlinkki"/>
            <w:noProof/>
            <w:lang w:val="en-GB"/>
          </w:rPr>
          <w:t>11. Safety findings from marketing experience</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_Toc129683714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7DD7C634" w14:textId="77777777" w:rsidR="00984BAB" w:rsidRPr="0015768B" w:rsidRDefault="00984BAB" w:rsidP="00984BAB">
      <w:pPr>
        <w:pStyle w:val="Sisluet1"/>
        <w:rPr>
          <w:rFonts w:asciiTheme="minorHAnsi" w:eastAsiaTheme="minorEastAsia" w:hAnsiTheme="minorHAnsi"/>
          <w:noProof/>
          <w:lang w:val="en-GB" w:eastAsia="nl-NL"/>
        </w:rPr>
      </w:pPr>
      <w:hyperlink w:anchor="_Toc129683715" w:history="1">
        <w:r w:rsidRPr="0015768B">
          <w:rPr>
            <w:rStyle w:val="Hyperlinkki"/>
            <w:noProof/>
            <w:lang w:val="en-GB"/>
          </w:rPr>
          <w:t>12. Non-clinical data</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_Toc129683715 \h </w:instrText>
        </w:r>
        <w:r w:rsidRPr="0015768B">
          <w:rPr>
            <w:noProof/>
            <w:webHidden/>
            <w:lang w:val="en-GB"/>
          </w:rPr>
        </w:r>
        <w:r w:rsidRPr="0015768B">
          <w:rPr>
            <w:noProof/>
            <w:webHidden/>
            <w:lang w:val="en-GB"/>
          </w:rPr>
          <w:fldChar w:fldCharType="separate"/>
        </w:r>
        <w:r w:rsidRPr="0015768B">
          <w:rPr>
            <w:noProof/>
            <w:webHidden/>
            <w:lang w:val="en-GB"/>
          </w:rPr>
          <w:t>10</w:t>
        </w:r>
        <w:r w:rsidRPr="0015768B">
          <w:rPr>
            <w:noProof/>
            <w:webHidden/>
            <w:lang w:val="en-GB"/>
          </w:rPr>
          <w:fldChar w:fldCharType="end"/>
        </w:r>
      </w:hyperlink>
    </w:p>
    <w:p w14:paraId="59DBAA42" w14:textId="77777777" w:rsidR="00984BAB" w:rsidRPr="0015768B" w:rsidRDefault="00984BAB" w:rsidP="00984BAB">
      <w:pPr>
        <w:pStyle w:val="Sisluet1"/>
        <w:rPr>
          <w:rFonts w:asciiTheme="minorHAnsi" w:eastAsiaTheme="minorEastAsia" w:hAnsiTheme="minorHAnsi"/>
          <w:noProof/>
          <w:lang w:val="en-GB" w:eastAsia="nl-NL"/>
        </w:rPr>
      </w:pPr>
      <w:hyperlink w:anchor="_Toc129683716" w:history="1">
        <w:r w:rsidRPr="0015768B">
          <w:rPr>
            <w:rStyle w:val="Hyperlinkki"/>
            <w:noProof/>
            <w:lang w:val="en-GB"/>
          </w:rPr>
          <w:t>13. Literature</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_Toc129683716 \h </w:instrText>
        </w:r>
        <w:r w:rsidRPr="0015768B">
          <w:rPr>
            <w:noProof/>
            <w:webHidden/>
            <w:lang w:val="en-GB"/>
          </w:rPr>
        </w:r>
        <w:r w:rsidRPr="0015768B">
          <w:rPr>
            <w:noProof/>
            <w:webHidden/>
            <w:lang w:val="en-GB"/>
          </w:rPr>
          <w:fldChar w:fldCharType="separate"/>
        </w:r>
        <w:r w:rsidRPr="0015768B">
          <w:rPr>
            <w:noProof/>
            <w:webHidden/>
            <w:lang w:val="en-GB"/>
          </w:rPr>
          <w:t>11</w:t>
        </w:r>
        <w:r w:rsidRPr="0015768B">
          <w:rPr>
            <w:noProof/>
            <w:webHidden/>
            <w:lang w:val="en-GB"/>
          </w:rPr>
          <w:fldChar w:fldCharType="end"/>
        </w:r>
      </w:hyperlink>
    </w:p>
    <w:p w14:paraId="5B1F7912" w14:textId="77777777" w:rsidR="00984BAB" w:rsidRPr="0015768B" w:rsidRDefault="00984BAB" w:rsidP="00984BAB">
      <w:pPr>
        <w:pStyle w:val="Sisluet1"/>
        <w:rPr>
          <w:rFonts w:asciiTheme="minorHAnsi" w:eastAsiaTheme="minorEastAsia" w:hAnsiTheme="minorHAnsi"/>
          <w:noProof/>
          <w:lang w:val="en-GB" w:eastAsia="nl-NL"/>
        </w:rPr>
      </w:pPr>
      <w:hyperlink w:anchor="_Toc129683717" w:history="1">
        <w:r w:rsidRPr="0015768B">
          <w:rPr>
            <w:rStyle w:val="Hyperlinkki"/>
            <w:noProof/>
            <w:lang w:val="en-GB"/>
          </w:rPr>
          <w:t>14. Other DSURs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_Toc129683717 \h </w:instrText>
        </w:r>
        <w:r w:rsidRPr="0015768B">
          <w:rPr>
            <w:noProof/>
            <w:webHidden/>
            <w:lang w:val="en-GB"/>
          </w:rPr>
        </w:r>
        <w:r w:rsidRPr="0015768B">
          <w:rPr>
            <w:noProof/>
            <w:webHidden/>
            <w:lang w:val="en-GB"/>
          </w:rPr>
          <w:fldChar w:fldCharType="separate"/>
        </w:r>
        <w:r w:rsidRPr="0015768B">
          <w:rPr>
            <w:noProof/>
            <w:webHidden/>
            <w:lang w:val="en-GB"/>
          </w:rPr>
          <w:t>11</w:t>
        </w:r>
        <w:r w:rsidRPr="0015768B">
          <w:rPr>
            <w:noProof/>
            <w:webHidden/>
            <w:lang w:val="en-GB"/>
          </w:rPr>
          <w:fldChar w:fldCharType="end"/>
        </w:r>
      </w:hyperlink>
    </w:p>
    <w:p w14:paraId="6174923C" w14:textId="77777777" w:rsidR="00984BAB" w:rsidRPr="0015768B" w:rsidRDefault="00984BAB" w:rsidP="00984BAB">
      <w:pPr>
        <w:pStyle w:val="Sisluet1"/>
        <w:rPr>
          <w:rFonts w:asciiTheme="minorHAnsi" w:eastAsiaTheme="minorEastAsia" w:hAnsiTheme="minorHAnsi"/>
          <w:noProof/>
          <w:lang w:val="en-GB" w:eastAsia="nl-NL"/>
        </w:rPr>
      </w:pPr>
      <w:hyperlink w:anchor="_Toc129683718" w:history="1">
        <w:r w:rsidRPr="0015768B">
          <w:rPr>
            <w:rStyle w:val="Hyperlinkki"/>
            <w:noProof/>
            <w:lang w:val="en-GB"/>
          </w:rPr>
          <w:t>15. Lack of efficacy</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_Toc129683718 \h </w:instrText>
        </w:r>
        <w:r w:rsidRPr="0015768B">
          <w:rPr>
            <w:noProof/>
            <w:webHidden/>
            <w:lang w:val="en-GB"/>
          </w:rPr>
        </w:r>
        <w:r w:rsidRPr="0015768B">
          <w:rPr>
            <w:noProof/>
            <w:webHidden/>
            <w:lang w:val="en-GB"/>
          </w:rPr>
          <w:fldChar w:fldCharType="separate"/>
        </w:r>
        <w:r w:rsidRPr="0015768B">
          <w:rPr>
            <w:noProof/>
            <w:webHidden/>
            <w:lang w:val="en-GB"/>
          </w:rPr>
          <w:t>11</w:t>
        </w:r>
        <w:r w:rsidRPr="0015768B">
          <w:rPr>
            <w:noProof/>
            <w:webHidden/>
            <w:lang w:val="en-GB"/>
          </w:rPr>
          <w:fldChar w:fldCharType="end"/>
        </w:r>
      </w:hyperlink>
    </w:p>
    <w:p w14:paraId="501AFAD0" w14:textId="77777777" w:rsidR="00984BAB" w:rsidRPr="0015768B" w:rsidRDefault="00984BAB" w:rsidP="00984BAB">
      <w:pPr>
        <w:pStyle w:val="Sisluet1"/>
        <w:rPr>
          <w:rFonts w:asciiTheme="minorHAnsi" w:eastAsiaTheme="minorEastAsia" w:hAnsiTheme="minorHAnsi"/>
          <w:noProof/>
          <w:lang w:val="en-GB" w:eastAsia="nl-NL"/>
        </w:rPr>
      </w:pPr>
      <w:hyperlink w:anchor="_Toc129683719" w:history="1">
        <w:r w:rsidRPr="0015768B">
          <w:rPr>
            <w:rStyle w:val="Hyperlinkki"/>
            <w:noProof/>
            <w:lang w:val="en-GB"/>
          </w:rPr>
          <w:t xml:space="preserve">16. Region-specific information </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_Toc129683719 \h </w:instrText>
        </w:r>
        <w:r w:rsidRPr="0015768B">
          <w:rPr>
            <w:noProof/>
            <w:webHidden/>
            <w:lang w:val="en-GB"/>
          </w:rPr>
        </w:r>
        <w:r w:rsidRPr="0015768B">
          <w:rPr>
            <w:noProof/>
            <w:webHidden/>
            <w:lang w:val="en-GB"/>
          </w:rPr>
          <w:fldChar w:fldCharType="separate"/>
        </w:r>
        <w:r w:rsidRPr="0015768B">
          <w:rPr>
            <w:noProof/>
            <w:webHidden/>
            <w:lang w:val="en-GB"/>
          </w:rPr>
          <w:t>11</w:t>
        </w:r>
        <w:r w:rsidRPr="0015768B">
          <w:rPr>
            <w:noProof/>
            <w:webHidden/>
            <w:lang w:val="en-GB"/>
          </w:rPr>
          <w:fldChar w:fldCharType="end"/>
        </w:r>
      </w:hyperlink>
    </w:p>
    <w:p w14:paraId="3614D06F" w14:textId="77777777" w:rsidR="00984BAB" w:rsidRPr="0015768B" w:rsidRDefault="00984BAB" w:rsidP="00984BAB">
      <w:pPr>
        <w:pStyle w:val="Sisluet1"/>
        <w:rPr>
          <w:rFonts w:asciiTheme="minorHAnsi" w:eastAsiaTheme="minorEastAsia" w:hAnsiTheme="minorHAnsi"/>
          <w:noProof/>
          <w:lang w:val="en-GB" w:eastAsia="nl-NL"/>
        </w:rPr>
      </w:pPr>
      <w:hyperlink w:anchor="_Toc129683720" w:history="1">
        <w:r w:rsidRPr="0015768B">
          <w:rPr>
            <w:rStyle w:val="Hyperlinkki"/>
            <w:noProof/>
            <w:lang w:val="en-GB"/>
          </w:rPr>
          <w:t>17. Late-breaking information</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_Toc129683720 \h </w:instrText>
        </w:r>
        <w:r w:rsidRPr="0015768B">
          <w:rPr>
            <w:noProof/>
            <w:webHidden/>
            <w:lang w:val="en-GB"/>
          </w:rPr>
        </w:r>
        <w:r w:rsidRPr="0015768B">
          <w:rPr>
            <w:noProof/>
            <w:webHidden/>
            <w:lang w:val="en-GB"/>
          </w:rPr>
          <w:fldChar w:fldCharType="separate"/>
        </w:r>
        <w:r w:rsidRPr="0015768B">
          <w:rPr>
            <w:noProof/>
            <w:webHidden/>
            <w:lang w:val="en-GB"/>
          </w:rPr>
          <w:t>11</w:t>
        </w:r>
        <w:r w:rsidRPr="0015768B">
          <w:rPr>
            <w:noProof/>
            <w:webHidden/>
            <w:lang w:val="en-GB"/>
          </w:rPr>
          <w:fldChar w:fldCharType="end"/>
        </w:r>
      </w:hyperlink>
    </w:p>
    <w:p w14:paraId="578D081E" w14:textId="77777777" w:rsidR="00984BAB" w:rsidRPr="0015768B" w:rsidRDefault="00984BAB" w:rsidP="00984BAB">
      <w:pPr>
        <w:pStyle w:val="Sisluet1"/>
        <w:rPr>
          <w:rFonts w:asciiTheme="minorHAnsi" w:eastAsiaTheme="minorEastAsia" w:hAnsiTheme="minorHAnsi"/>
          <w:noProof/>
          <w:lang w:val="en-GB" w:eastAsia="nl-NL"/>
        </w:rPr>
      </w:pPr>
      <w:hyperlink w:anchor="_Toc129683721" w:history="1">
        <w:r w:rsidRPr="0015768B">
          <w:rPr>
            <w:rStyle w:val="Hyperlinkki"/>
            <w:noProof/>
            <w:lang w:val="en-GB"/>
          </w:rPr>
          <w:t>18. Overall safety assessment</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_Toc129683721 \h </w:instrText>
        </w:r>
        <w:r w:rsidRPr="0015768B">
          <w:rPr>
            <w:noProof/>
            <w:webHidden/>
            <w:lang w:val="en-GB"/>
          </w:rPr>
        </w:r>
        <w:r w:rsidRPr="0015768B">
          <w:rPr>
            <w:noProof/>
            <w:webHidden/>
            <w:lang w:val="en-GB"/>
          </w:rPr>
          <w:fldChar w:fldCharType="separate"/>
        </w:r>
        <w:r w:rsidRPr="0015768B">
          <w:rPr>
            <w:noProof/>
            <w:webHidden/>
            <w:lang w:val="en-GB"/>
          </w:rPr>
          <w:t>11</w:t>
        </w:r>
        <w:r w:rsidRPr="0015768B">
          <w:rPr>
            <w:noProof/>
            <w:webHidden/>
            <w:lang w:val="en-GB"/>
          </w:rPr>
          <w:fldChar w:fldCharType="end"/>
        </w:r>
      </w:hyperlink>
    </w:p>
    <w:p w14:paraId="587D3FE9"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22" w:history="1">
        <w:r w:rsidRPr="0015768B">
          <w:rPr>
            <w:rStyle w:val="Hyperlinkki"/>
            <w:noProof/>
            <w:lang w:val="en-GB"/>
          </w:rPr>
          <w:t>18.1. Evaluation of the risks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_Toc129683722 \h </w:instrText>
        </w:r>
        <w:r w:rsidRPr="0015768B">
          <w:rPr>
            <w:noProof/>
            <w:webHidden/>
            <w:lang w:val="en-GB"/>
          </w:rPr>
        </w:r>
        <w:r w:rsidRPr="0015768B">
          <w:rPr>
            <w:noProof/>
            <w:webHidden/>
            <w:lang w:val="en-GB"/>
          </w:rPr>
          <w:fldChar w:fldCharType="separate"/>
        </w:r>
        <w:r w:rsidRPr="0015768B">
          <w:rPr>
            <w:noProof/>
            <w:webHidden/>
            <w:lang w:val="en-GB"/>
          </w:rPr>
          <w:t>11</w:t>
        </w:r>
        <w:r w:rsidRPr="0015768B">
          <w:rPr>
            <w:noProof/>
            <w:webHidden/>
            <w:lang w:val="en-GB"/>
          </w:rPr>
          <w:fldChar w:fldCharType="end"/>
        </w:r>
      </w:hyperlink>
    </w:p>
    <w:p w14:paraId="5809C5C1" w14:textId="77777777" w:rsidR="00984BAB" w:rsidRPr="0015768B" w:rsidRDefault="00984BAB">
      <w:pPr>
        <w:pStyle w:val="Sisluet2"/>
        <w:tabs>
          <w:tab w:val="right" w:leader="dot" w:pos="9350"/>
        </w:tabs>
        <w:rPr>
          <w:rFonts w:asciiTheme="minorHAnsi" w:eastAsiaTheme="minorEastAsia" w:hAnsiTheme="minorHAnsi"/>
          <w:noProof/>
          <w:lang w:val="en-GB" w:eastAsia="nl-NL"/>
        </w:rPr>
      </w:pPr>
      <w:hyperlink w:anchor="_Toc129683723" w:history="1">
        <w:r w:rsidRPr="0015768B">
          <w:rPr>
            <w:rStyle w:val="Hyperlinkki"/>
            <w:noProof/>
            <w:lang w:val="en-GB"/>
          </w:rPr>
          <w:t>18.2. Benefit-risk considerations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_Toc129683723 \h </w:instrText>
        </w:r>
        <w:r w:rsidRPr="0015768B">
          <w:rPr>
            <w:noProof/>
            <w:webHidden/>
            <w:lang w:val="en-GB"/>
          </w:rPr>
        </w:r>
        <w:r w:rsidRPr="0015768B">
          <w:rPr>
            <w:noProof/>
            <w:webHidden/>
            <w:lang w:val="en-GB"/>
          </w:rPr>
          <w:fldChar w:fldCharType="separate"/>
        </w:r>
        <w:r w:rsidRPr="0015768B">
          <w:rPr>
            <w:noProof/>
            <w:webHidden/>
            <w:lang w:val="en-GB"/>
          </w:rPr>
          <w:t>12</w:t>
        </w:r>
        <w:r w:rsidRPr="0015768B">
          <w:rPr>
            <w:noProof/>
            <w:webHidden/>
            <w:lang w:val="en-GB"/>
          </w:rPr>
          <w:fldChar w:fldCharType="end"/>
        </w:r>
      </w:hyperlink>
    </w:p>
    <w:p w14:paraId="09F45D7A" w14:textId="77777777" w:rsidR="00984BAB" w:rsidRPr="0015768B" w:rsidRDefault="00984BAB" w:rsidP="00984BAB">
      <w:pPr>
        <w:pStyle w:val="Sisluet1"/>
        <w:rPr>
          <w:rFonts w:asciiTheme="minorHAnsi" w:eastAsiaTheme="minorEastAsia" w:hAnsiTheme="minorHAnsi"/>
          <w:noProof/>
          <w:lang w:val="en-GB" w:eastAsia="nl-NL"/>
        </w:rPr>
      </w:pPr>
      <w:hyperlink w:anchor="_Toc129683724" w:history="1">
        <w:r w:rsidRPr="0015768B">
          <w:rPr>
            <w:rStyle w:val="Hyperlinkki"/>
            <w:noProof/>
            <w:lang w:val="en-GB"/>
          </w:rPr>
          <w:t>19. Summary of important risks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_Toc129683724 \h </w:instrText>
        </w:r>
        <w:r w:rsidRPr="0015768B">
          <w:rPr>
            <w:noProof/>
            <w:webHidden/>
            <w:lang w:val="en-GB"/>
          </w:rPr>
        </w:r>
        <w:r w:rsidRPr="0015768B">
          <w:rPr>
            <w:noProof/>
            <w:webHidden/>
            <w:lang w:val="en-GB"/>
          </w:rPr>
          <w:fldChar w:fldCharType="separate"/>
        </w:r>
        <w:r w:rsidRPr="0015768B">
          <w:rPr>
            <w:noProof/>
            <w:webHidden/>
            <w:lang w:val="en-GB"/>
          </w:rPr>
          <w:t>12</w:t>
        </w:r>
        <w:r w:rsidRPr="0015768B">
          <w:rPr>
            <w:noProof/>
            <w:webHidden/>
            <w:lang w:val="en-GB"/>
          </w:rPr>
          <w:fldChar w:fldCharType="end"/>
        </w:r>
      </w:hyperlink>
    </w:p>
    <w:p w14:paraId="7EB2B50F" w14:textId="77777777" w:rsidR="00984BAB" w:rsidRPr="0015768B" w:rsidRDefault="00984BAB" w:rsidP="00984BAB">
      <w:pPr>
        <w:pStyle w:val="Sisluet1"/>
        <w:rPr>
          <w:rFonts w:asciiTheme="minorHAnsi" w:eastAsiaTheme="minorEastAsia" w:hAnsiTheme="minorHAnsi"/>
          <w:noProof/>
          <w:lang w:val="en-GB" w:eastAsia="nl-NL"/>
        </w:rPr>
      </w:pPr>
      <w:hyperlink w:anchor="_Toc129683725" w:history="1">
        <w:r w:rsidRPr="0015768B">
          <w:rPr>
            <w:rStyle w:val="Hyperlinkki"/>
            <w:noProof/>
            <w:lang w:val="en-GB"/>
          </w:rPr>
          <w:t>20. Conclusions</w:t>
        </w:r>
        <w:r w:rsidRPr="0015768B">
          <w:rPr>
            <w:noProof/>
            <w:webHidden/>
            <w:lang w:val="en-GB"/>
          </w:rPr>
          <w:tab/>
        </w:r>
        <w:r w:rsidRPr="0015768B">
          <w:rPr>
            <w:noProof/>
            <w:webHidden/>
            <w:lang w:val="en-GB"/>
          </w:rPr>
          <w:fldChar w:fldCharType="begin"/>
        </w:r>
        <w:r w:rsidRPr="0015768B">
          <w:rPr>
            <w:noProof/>
            <w:webHidden/>
            <w:lang w:val="en-GB"/>
          </w:rPr>
          <w:instrText xml:space="preserve"> PAGEREF _Toc129683725 \h </w:instrText>
        </w:r>
        <w:r w:rsidRPr="0015768B">
          <w:rPr>
            <w:noProof/>
            <w:webHidden/>
            <w:lang w:val="en-GB"/>
          </w:rPr>
        </w:r>
        <w:r w:rsidRPr="0015768B">
          <w:rPr>
            <w:noProof/>
            <w:webHidden/>
            <w:lang w:val="en-GB"/>
          </w:rPr>
          <w:fldChar w:fldCharType="separate"/>
        </w:r>
        <w:r w:rsidRPr="0015768B">
          <w:rPr>
            <w:noProof/>
            <w:webHidden/>
            <w:lang w:val="en-GB"/>
          </w:rPr>
          <w:t>12</w:t>
        </w:r>
        <w:r w:rsidRPr="0015768B">
          <w:rPr>
            <w:noProof/>
            <w:webHidden/>
            <w:lang w:val="en-GB"/>
          </w:rPr>
          <w:fldChar w:fldCharType="end"/>
        </w:r>
      </w:hyperlink>
    </w:p>
    <w:p w14:paraId="28D8F2F1" w14:textId="77777777" w:rsidR="000D7368" w:rsidRPr="0015768B" w:rsidRDefault="000D7368">
      <w:pPr>
        <w:rPr>
          <w:lang w:val="en-GB"/>
        </w:rPr>
      </w:pPr>
      <w:r w:rsidRPr="0015768B">
        <w:rPr>
          <w:lang w:val="en-GB"/>
        </w:rPr>
        <w:fldChar w:fldCharType="end"/>
      </w:r>
    </w:p>
    <w:p w14:paraId="25ECD002" w14:textId="77777777" w:rsidR="00E64FFE" w:rsidRPr="0015768B" w:rsidRDefault="00E64FFE" w:rsidP="00E64FFE">
      <w:pPr>
        <w:rPr>
          <w:rFonts w:asciiTheme="majorHAnsi" w:eastAsiaTheme="majorEastAsia" w:hAnsiTheme="majorHAnsi"/>
          <w:color w:val="365F91" w:themeColor="accent1" w:themeShade="BF"/>
          <w:sz w:val="28"/>
          <w:szCs w:val="28"/>
          <w:lang w:val="en-GB"/>
        </w:rPr>
      </w:pPr>
      <w:r w:rsidRPr="0015768B">
        <w:rPr>
          <w:lang w:val="en-GB"/>
        </w:rPr>
        <w:br w:type="page"/>
      </w:r>
    </w:p>
    <w:p w14:paraId="08F4A902" w14:textId="77777777" w:rsidR="005F1103" w:rsidRPr="0015768B" w:rsidRDefault="00E64FFE" w:rsidP="005F1103">
      <w:pPr>
        <w:pStyle w:val="Otsikko1"/>
        <w:rPr>
          <w:lang w:val="en-GB"/>
        </w:rPr>
      </w:pPr>
      <w:bookmarkStart w:id="10" w:name="_Toc129683694"/>
      <w:r w:rsidRPr="0015768B">
        <w:rPr>
          <w:lang w:val="en-GB"/>
        </w:rPr>
        <w:lastRenderedPageBreak/>
        <w:t>1. Introduction</w:t>
      </w:r>
      <w:bookmarkEnd w:id="10"/>
      <w:r w:rsidRPr="0015768B">
        <w:rPr>
          <w:lang w:val="en-GB"/>
        </w:rPr>
        <w:t xml:space="preserve"> </w:t>
      </w:r>
    </w:p>
    <w:p w14:paraId="2D0461C2" w14:textId="77777777" w:rsidR="007655B1" w:rsidRPr="0015768B" w:rsidRDefault="007655B1" w:rsidP="00F543E5">
      <w:pPr>
        <w:rPr>
          <w:lang w:val="en-GB"/>
        </w:rPr>
      </w:pPr>
    </w:p>
    <w:p w14:paraId="1C271384" w14:textId="1A1F2E11" w:rsidR="007655B1" w:rsidRPr="0015768B" w:rsidRDefault="00F43AA1" w:rsidP="00F543E5">
      <w:pPr>
        <w:rPr>
          <w:lang w:val="en-GB"/>
        </w:rPr>
      </w:pPr>
      <w:r>
        <w:rPr>
          <w:lang w:val="en-GB"/>
        </w:rPr>
        <w:t>ASR</w:t>
      </w:r>
      <w:r w:rsidR="004D2297" w:rsidRPr="0015768B">
        <w:rPr>
          <w:lang w:val="en-GB"/>
        </w:rPr>
        <w:t xml:space="preserve"> </w:t>
      </w:r>
      <w:r w:rsidR="007655B1" w:rsidRPr="0015768B">
        <w:rPr>
          <w:lang w:val="en-GB"/>
        </w:rPr>
        <w:t xml:space="preserve">number: </w:t>
      </w:r>
      <w:bookmarkStart w:id="11" w:name="Text2"/>
      <w:r w:rsidR="00F163B6" w:rsidRPr="0015768B">
        <w:rPr>
          <w:lang w:val="en-GB"/>
        </w:rPr>
        <w:fldChar w:fldCharType="begin">
          <w:ffData>
            <w:name w:val="Text2"/>
            <w:enabled/>
            <w:calcOnExit w:val="0"/>
            <w:textInput/>
          </w:ffData>
        </w:fldChar>
      </w:r>
      <w:r w:rsidR="00F163B6" w:rsidRPr="0015768B">
        <w:rPr>
          <w:lang w:val="en-GB"/>
        </w:rPr>
        <w:instrText xml:space="preserve"> FORMTEXT </w:instrText>
      </w:r>
      <w:r w:rsidR="00F163B6" w:rsidRPr="0015768B">
        <w:rPr>
          <w:lang w:val="en-GB"/>
        </w:rPr>
      </w:r>
      <w:r w:rsidR="00F163B6" w:rsidRPr="0015768B">
        <w:rPr>
          <w:lang w:val="en-GB"/>
        </w:rPr>
        <w:fldChar w:fldCharType="separate"/>
      </w:r>
      <w:r w:rsidR="00F163B6" w:rsidRPr="0015768B">
        <w:rPr>
          <w:noProof/>
          <w:lang w:val="en-GB"/>
        </w:rPr>
        <w:t> </w:t>
      </w:r>
      <w:r w:rsidR="00F163B6" w:rsidRPr="0015768B">
        <w:rPr>
          <w:noProof/>
          <w:lang w:val="en-GB"/>
        </w:rPr>
        <w:t> </w:t>
      </w:r>
      <w:r w:rsidR="00F163B6" w:rsidRPr="0015768B">
        <w:rPr>
          <w:noProof/>
          <w:lang w:val="en-GB"/>
        </w:rPr>
        <w:t> </w:t>
      </w:r>
      <w:r w:rsidR="00F163B6" w:rsidRPr="0015768B">
        <w:rPr>
          <w:noProof/>
          <w:lang w:val="en-GB"/>
        </w:rPr>
        <w:t> </w:t>
      </w:r>
      <w:r w:rsidR="00F163B6" w:rsidRPr="0015768B">
        <w:rPr>
          <w:noProof/>
          <w:lang w:val="en-GB"/>
        </w:rPr>
        <w:t> </w:t>
      </w:r>
      <w:r w:rsidR="00F163B6" w:rsidRPr="0015768B">
        <w:rPr>
          <w:lang w:val="en-GB"/>
        </w:rPr>
        <w:fldChar w:fldCharType="end"/>
      </w:r>
      <w:bookmarkEnd w:id="11"/>
    </w:p>
    <w:p w14:paraId="22245FBC" w14:textId="77777777" w:rsidR="007655B1" w:rsidRPr="0015768B" w:rsidRDefault="007655B1" w:rsidP="00F543E5">
      <w:pPr>
        <w:rPr>
          <w:lang w:val="en-GB"/>
        </w:rPr>
      </w:pPr>
      <w:r w:rsidRPr="0015768B">
        <w:rPr>
          <w:lang w:val="en-GB"/>
        </w:rPr>
        <w:t>Reporting period:</w:t>
      </w:r>
      <w:r w:rsidR="00F163B6" w:rsidRPr="0015768B">
        <w:rPr>
          <w:lang w:val="en-GB"/>
        </w:rPr>
        <w:t xml:space="preserve"> </w:t>
      </w:r>
      <w:bookmarkStart w:id="12" w:name="Text3"/>
      <w:r w:rsidR="00F163B6" w:rsidRPr="0015768B">
        <w:rPr>
          <w:lang w:val="en-GB"/>
        </w:rPr>
        <w:fldChar w:fldCharType="begin">
          <w:ffData>
            <w:name w:val="Text3"/>
            <w:enabled/>
            <w:calcOnExit w:val="0"/>
            <w:textInput/>
          </w:ffData>
        </w:fldChar>
      </w:r>
      <w:r w:rsidR="00F163B6" w:rsidRPr="0015768B">
        <w:rPr>
          <w:lang w:val="en-GB"/>
        </w:rPr>
        <w:instrText xml:space="preserve"> FORMTEXT </w:instrText>
      </w:r>
      <w:r w:rsidR="00F163B6" w:rsidRPr="0015768B">
        <w:rPr>
          <w:lang w:val="en-GB"/>
        </w:rPr>
      </w:r>
      <w:r w:rsidR="00F163B6" w:rsidRPr="0015768B">
        <w:rPr>
          <w:lang w:val="en-GB"/>
        </w:rPr>
        <w:fldChar w:fldCharType="separate"/>
      </w:r>
      <w:r w:rsidR="00F163B6" w:rsidRPr="0015768B">
        <w:rPr>
          <w:noProof/>
          <w:lang w:val="en-GB"/>
        </w:rPr>
        <w:t> </w:t>
      </w:r>
      <w:r w:rsidR="00F163B6" w:rsidRPr="0015768B">
        <w:rPr>
          <w:noProof/>
          <w:lang w:val="en-GB"/>
        </w:rPr>
        <w:t> </w:t>
      </w:r>
      <w:r w:rsidR="00F163B6" w:rsidRPr="0015768B">
        <w:rPr>
          <w:noProof/>
          <w:lang w:val="en-GB"/>
        </w:rPr>
        <w:t> </w:t>
      </w:r>
      <w:r w:rsidR="00F163B6" w:rsidRPr="0015768B">
        <w:rPr>
          <w:noProof/>
          <w:lang w:val="en-GB"/>
        </w:rPr>
        <w:t> </w:t>
      </w:r>
      <w:r w:rsidR="00F163B6" w:rsidRPr="0015768B">
        <w:rPr>
          <w:noProof/>
          <w:lang w:val="en-GB"/>
        </w:rPr>
        <w:t> </w:t>
      </w:r>
      <w:r w:rsidR="00F163B6" w:rsidRPr="0015768B">
        <w:rPr>
          <w:lang w:val="en-GB"/>
        </w:rPr>
        <w:fldChar w:fldCharType="end"/>
      </w:r>
      <w:bookmarkEnd w:id="12"/>
    </w:p>
    <w:p w14:paraId="68796C49" w14:textId="77777777" w:rsidR="007655B1" w:rsidRPr="0026547E" w:rsidRDefault="007655B1" w:rsidP="007655B1">
      <w:pPr>
        <w:rPr>
          <w:i/>
          <w:color w:val="D99594" w:themeColor="accent2" w:themeTint="99"/>
          <w:lang w:val="en-GB"/>
        </w:rPr>
      </w:pPr>
      <w:commentRangeStart w:id="13"/>
      <w:r w:rsidRPr="0026547E">
        <w:rPr>
          <w:i/>
          <w:color w:val="D99594" w:themeColor="accent2" w:themeTint="99"/>
          <w:lang w:val="en-GB"/>
        </w:rPr>
        <w:t>&lt; Describe shortly:</w:t>
      </w:r>
      <w:commentRangeEnd w:id="13"/>
      <w:r w:rsidR="00044BB8" w:rsidRPr="0026547E">
        <w:rPr>
          <w:rStyle w:val="Kommentinviite"/>
          <w:color w:val="D99594" w:themeColor="accent2" w:themeTint="99"/>
          <w:lang w:val="en-GB"/>
        </w:rPr>
        <w:commentReference w:id="13"/>
      </w:r>
    </w:p>
    <w:p w14:paraId="153C272E" w14:textId="77777777" w:rsidR="007655B1" w:rsidRPr="0026547E" w:rsidRDefault="005D0B42" w:rsidP="00FD4BC8">
      <w:pPr>
        <w:pStyle w:val="Luettelokappale"/>
        <w:numPr>
          <w:ilvl w:val="0"/>
          <w:numId w:val="1"/>
        </w:numPr>
        <w:rPr>
          <w:i/>
          <w:color w:val="D99594" w:themeColor="accent2" w:themeTint="99"/>
          <w:lang w:val="en-GB"/>
        </w:rPr>
      </w:pPr>
      <w:r w:rsidRPr="0026547E">
        <w:rPr>
          <w:i/>
          <w:color w:val="D99594" w:themeColor="accent2" w:themeTint="99"/>
          <w:lang w:val="en-GB"/>
        </w:rPr>
        <w:t xml:space="preserve">Active substance used as </w:t>
      </w:r>
      <w:r w:rsidR="007655B1" w:rsidRPr="0026547E">
        <w:rPr>
          <w:i/>
          <w:color w:val="D99594" w:themeColor="accent2" w:themeTint="99"/>
          <w:lang w:val="en-GB"/>
        </w:rPr>
        <w:t>Investigational drug(s) – mode(s) of action, therapeutic class(es), dose(s), route(s) of administration, formulation(s)</w:t>
      </w:r>
    </w:p>
    <w:p w14:paraId="3FB7D073" w14:textId="77777777" w:rsidR="007655B1" w:rsidRPr="0026547E" w:rsidRDefault="007655B1" w:rsidP="00FD4BC8">
      <w:pPr>
        <w:pStyle w:val="Luettelokappale"/>
        <w:numPr>
          <w:ilvl w:val="0"/>
          <w:numId w:val="1"/>
        </w:numPr>
        <w:rPr>
          <w:i/>
          <w:color w:val="D99594" w:themeColor="accent2" w:themeTint="99"/>
          <w:lang w:val="en-GB"/>
        </w:rPr>
      </w:pPr>
      <w:r w:rsidRPr="0026547E">
        <w:rPr>
          <w:i/>
          <w:color w:val="D99594" w:themeColor="accent2" w:themeTint="99"/>
          <w:lang w:val="en-GB"/>
        </w:rPr>
        <w:t xml:space="preserve">A brief description of the indication(s) and population(s) being studied; </w:t>
      </w:r>
    </w:p>
    <w:p w14:paraId="09C4A339" w14:textId="77777777" w:rsidR="007655B1" w:rsidRPr="0026547E" w:rsidRDefault="007655B1" w:rsidP="00FD4BC8">
      <w:pPr>
        <w:pStyle w:val="Luettelokappale"/>
        <w:numPr>
          <w:ilvl w:val="0"/>
          <w:numId w:val="1"/>
        </w:numPr>
        <w:rPr>
          <w:i/>
          <w:color w:val="D99594" w:themeColor="accent2" w:themeTint="99"/>
          <w:lang w:val="en-GB"/>
        </w:rPr>
      </w:pPr>
      <w:r w:rsidRPr="0026547E">
        <w:rPr>
          <w:i/>
          <w:color w:val="D99594" w:themeColor="accent2" w:themeTint="99"/>
          <w:lang w:val="en-GB"/>
        </w:rPr>
        <w:t xml:space="preserve">A short summary of the scope of the clinical trial covered by the report </w:t>
      </w:r>
    </w:p>
    <w:p w14:paraId="57B67435" w14:textId="6C7BC305" w:rsidR="007655B1" w:rsidRPr="0026547E" w:rsidRDefault="007655B1" w:rsidP="00FD4BC8">
      <w:pPr>
        <w:pStyle w:val="Luettelokappale"/>
        <w:numPr>
          <w:ilvl w:val="0"/>
          <w:numId w:val="1"/>
        </w:numPr>
        <w:rPr>
          <w:i/>
          <w:color w:val="D99594" w:themeColor="accent2" w:themeTint="99"/>
          <w:lang w:val="en-GB"/>
        </w:rPr>
      </w:pPr>
      <w:r w:rsidRPr="0026547E">
        <w:rPr>
          <w:i/>
          <w:color w:val="D99594" w:themeColor="accent2" w:themeTint="99"/>
          <w:lang w:val="en-GB"/>
        </w:rPr>
        <w:t xml:space="preserve">A brief description and explanation of any information that has not been included in the </w:t>
      </w:r>
      <w:r w:rsidR="00EC158A" w:rsidRPr="0026547E">
        <w:rPr>
          <w:i/>
          <w:color w:val="D99594" w:themeColor="accent2" w:themeTint="99"/>
          <w:lang w:val="en-GB"/>
        </w:rPr>
        <w:t>ASR</w:t>
      </w:r>
      <w:r w:rsidRPr="0026547E">
        <w:rPr>
          <w:i/>
          <w:color w:val="D99594" w:themeColor="accent2" w:themeTint="99"/>
          <w:lang w:val="en-GB"/>
        </w:rPr>
        <w:t xml:space="preserve"> (e.g., when written agreements with a partner do not provide for exchange of all safety data); </w:t>
      </w:r>
    </w:p>
    <w:p w14:paraId="0D94FF6E" w14:textId="127D900D" w:rsidR="0034166F" w:rsidRPr="0026547E" w:rsidRDefault="007655B1" w:rsidP="005F1103">
      <w:pPr>
        <w:pStyle w:val="Luettelokappale"/>
        <w:numPr>
          <w:ilvl w:val="0"/>
          <w:numId w:val="1"/>
        </w:numPr>
        <w:rPr>
          <w:color w:val="D99594" w:themeColor="accent2" w:themeTint="99"/>
          <w:lang w:val="en-GB"/>
        </w:rPr>
      </w:pPr>
      <w:r w:rsidRPr="0026547E">
        <w:rPr>
          <w:i/>
          <w:color w:val="D99594" w:themeColor="accent2" w:themeTint="99"/>
          <w:lang w:val="en-GB"/>
        </w:rPr>
        <w:t xml:space="preserve">The rationale for submission of multiple </w:t>
      </w:r>
      <w:r w:rsidR="002273D3">
        <w:rPr>
          <w:i/>
          <w:color w:val="D99594" w:themeColor="accent2" w:themeTint="99"/>
          <w:lang w:val="en-GB"/>
        </w:rPr>
        <w:t>AS</w:t>
      </w:r>
      <w:r w:rsidRPr="0026547E">
        <w:rPr>
          <w:i/>
          <w:color w:val="D99594" w:themeColor="accent2" w:themeTint="99"/>
          <w:lang w:val="en-GB"/>
        </w:rPr>
        <w:t>Rs for the inves</w:t>
      </w:r>
      <w:r w:rsidR="00FD4BC8" w:rsidRPr="0026547E">
        <w:rPr>
          <w:i/>
          <w:color w:val="D99594" w:themeColor="accent2" w:themeTint="99"/>
          <w:lang w:val="en-GB"/>
        </w:rPr>
        <w:t>tigational drug, if applicable</w:t>
      </w:r>
    </w:p>
    <w:p w14:paraId="2817E133" w14:textId="27BC485B" w:rsidR="005D0B42" w:rsidRPr="0026547E" w:rsidRDefault="005D0B42" w:rsidP="005D0B42">
      <w:pPr>
        <w:pStyle w:val="Luettelokappale"/>
        <w:numPr>
          <w:ilvl w:val="0"/>
          <w:numId w:val="1"/>
        </w:numPr>
        <w:rPr>
          <w:color w:val="D99594" w:themeColor="accent2" w:themeTint="99"/>
          <w:lang w:val="en-GB"/>
        </w:rPr>
      </w:pPr>
      <w:r w:rsidRPr="0026547E">
        <w:rPr>
          <w:i/>
          <w:color w:val="D99594" w:themeColor="accent2" w:themeTint="99"/>
          <w:lang w:val="en-GB"/>
        </w:rPr>
        <w:t xml:space="preserve">Indicate if information on reference IMP (comparator) or </w:t>
      </w:r>
      <w:proofErr w:type="spellStart"/>
      <w:r w:rsidRPr="0026547E">
        <w:rPr>
          <w:i/>
          <w:color w:val="D99594" w:themeColor="accent2" w:themeTint="99"/>
          <w:lang w:val="en-GB"/>
        </w:rPr>
        <w:t>AxMP</w:t>
      </w:r>
      <w:proofErr w:type="spellEnd"/>
      <w:r w:rsidRPr="0026547E">
        <w:rPr>
          <w:i/>
          <w:color w:val="D99594" w:themeColor="accent2" w:themeTint="99"/>
          <w:lang w:val="en-GB"/>
        </w:rPr>
        <w:t xml:space="preserve"> is included</w:t>
      </w:r>
      <w:r w:rsidR="00766A51" w:rsidRPr="0026547E">
        <w:rPr>
          <w:i/>
          <w:color w:val="D99594" w:themeColor="accent2" w:themeTint="99"/>
          <w:lang w:val="en-GB"/>
        </w:rPr>
        <w:t>&gt;</w:t>
      </w:r>
    </w:p>
    <w:p w14:paraId="37272AE2" w14:textId="77777777" w:rsidR="005D0B42" w:rsidRPr="0015768B" w:rsidRDefault="005D0B42" w:rsidP="00984BAB">
      <w:pPr>
        <w:pStyle w:val="Luettelokappale"/>
        <w:rPr>
          <w:lang w:val="en-GB"/>
        </w:rPr>
      </w:pPr>
    </w:p>
    <w:p w14:paraId="74A4F345" w14:textId="77777777" w:rsidR="005F1103" w:rsidRPr="0015768B" w:rsidRDefault="00E64FFE" w:rsidP="0034166F">
      <w:pPr>
        <w:pStyle w:val="Otsikko1"/>
        <w:rPr>
          <w:lang w:val="en-GB"/>
        </w:rPr>
      </w:pPr>
      <w:bookmarkStart w:id="14" w:name="_Toc129683695"/>
      <w:r w:rsidRPr="0015768B">
        <w:rPr>
          <w:lang w:val="en-GB"/>
        </w:rPr>
        <w:t>2. Worldwide marketing approval status</w:t>
      </w:r>
      <w:bookmarkEnd w:id="14"/>
      <w:r w:rsidRPr="0015768B">
        <w:rPr>
          <w:lang w:val="en-GB"/>
        </w:rPr>
        <w:t xml:space="preserve"> </w:t>
      </w:r>
    </w:p>
    <w:p w14:paraId="77158FBB" w14:textId="77777777" w:rsidR="00980D94" w:rsidRPr="0015768B" w:rsidRDefault="00D46036" w:rsidP="00980D94">
      <w:pPr>
        <w:rPr>
          <w:i/>
          <w:lang w:val="en-GB"/>
        </w:rPr>
      </w:pPr>
      <w:r w:rsidRPr="0015768B">
        <w:rPr>
          <w:lang w:val="en-GB"/>
        </w:rPr>
        <w:t>Not applicable.</w:t>
      </w:r>
    </w:p>
    <w:p w14:paraId="1137E7E8" w14:textId="77777777" w:rsidR="005F1103" w:rsidRPr="0015768B" w:rsidRDefault="00E64FFE" w:rsidP="005F1103">
      <w:pPr>
        <w:pStyle w:val="Otsikko1"/>
        <w:rPr>
          <w:lang w:val="en-GB"/>
        </w:rPr>
      </w:pPr>
      <w:bookmarkStart w:id="15" w:name="_Toc129683696"/>
      <w:r w:rsidRPr="0015768B">
        <w:rPr>
          <w:lang w:val="en-GB"/>
        </w:rPr>
        <w:t>3. Actions taken in the reporting period for safety reasons</w:t>
      </w:r>
      <w:bookmarkEnd w:id="15"/>
    </w:p>
    <w:p w14:paraId="28C86335" w14:textId="5092A95D" w:rsidR="00980D94" w:rsidRPr="0026547E" w:rsidRDefault="00D70E1B" w:rsidP="00980D94">
      <w:pPr>
        <w:rPr>
          <w:i/>
          <w:color w:val="D99594" w:themeColor="accent2" w:themeTint="99"/>
          <w:lang w:val="en-GB"/>
        </w:rPr>
      </w:pPr>
      <w:commentRangeStart w:id="16"/>
      <w:r w:rsidRPr="0026547E">
        <w:rPr>
          <w:i/>
          <w:color w:val="D99594" w:themeColor="accent2" w:themeTint="99"/>
          <w:lang w:val="en-GB"/>
        </w:rPr>
        <w:t>&lt;</w:t>
      </w:r>
      <w:r w:rsidR="00980D94" w:rsidRPr="0026547E">
        <w:rPr>
          <w:i/>
          <w:color w:val="D99594" w:themeColor="accent2" w:themeTint="99"/>
          <w:lang w:val="en-GB"/>
        </w:rPr>
        <w:t>This section should include a description of significant actions related to safety that have been taken during the reporting period by the sponsor, regulat</w:t>
      </w:r>
      <w:r w:rsidR="00D61EE6" w:rsidRPr="0026547E">
        <w:rPr>
          <w:i/>
          <w:color w:val="D99594" w:themeColor="accent2" w:themeTint="99"/>
          <w:lang w:val="en-GB"/>
        </w:rPr>
        <w:t xml:space="preserve">ors, data monitoring committees </w:t>
      </w:r>
      <w:r w:rsidR="00980D94" w:rsidRPr="0026547E">
        <w:rPr>
          <w:i/>
          <w:color w:val="D99594" w:themeColor="accent2" w:themeTint="99"/>
          <w:lang w:val="en-GB"/>
        </w:rPr>
        <w:t>(DMC)</w:t>
      </w:r>
      <w:r w:rsidR="00E07CD4" w:rsidRPr="0026547E">
        <w:rPr>
          <w:i/>
          <w:color w:val="D99594" w:themeColor="accent2" w:themeTint="99"/>
          <w:lang w:val="en-GB"/>
        </w:rPr>
        <w:t xml:space="preserve">, </w:t>
      </w:r>
      <w:r w:rsidR="00980D94" w:rsidRPr="0026547E">
        <w:rPr>
          <w:i/>
          <w:color w:val="D99594" w:themeColor="accent2" w:themeTint="99"/>
          <w:lang w:val="en-GB"/>
        </w:rPr>
        <w:t xml:space="preserve">ethics committees </w:t>
      </w:r>
      <w:r w:rsidR="00E07CD4" w:rsidRPr="0026547E">
        <w:rPr>
          <w:i/>
          <w:color w:val="D99594" w:themeColor="accent2" w:themeTint="99"/>
          <w:lang w:val="en-GB"/>
        </w:rPr>
        <w:t xml:space="preserve">or the marketing authorisation holder </w:t>
      </w:r>
      <w:r w:rsidR="00980D94" w:rsidRPr="0026547E">
        <w:rPr>
          <w:i/>
          <w:color w:val="D99594" w:themeColor="accent2" w:themeTint="99"/>
          <w:lang w:val="en-GB"/>
        </w:rPr>
        <w:t xml:space="preserve">that had an impact on the conduct </w:t>
      </w:r>
      <w:r w:rsidRPr="0026547E">
        <w:rPr>
          <w:i/>
          <w:color w:val="D99594" w:themeColor="accent2" w:themeTint="99"/>
          <w:lang w:val="en-GB"/>
        </w:rPr>
        <w:t xml:space="preserve">of a specific clinical trial. </w:t>
      </w:r>
      <w:r w:rsidR="00980D94" w:rsidRPr="0026547E">
        <w:rPr>
          <w:i/>
          <w:color w:val="D99594" w:themeColor="accent2" w:themeTint="99"/>
          <w:lang w:val="en-GB"/>
        </w:rPr>
        <w:t xml:space="preserve"> The reason(s) for each acti</w:t>
      </w:r>
      <w:r w:rsidRPr="0026547E">
        <w:rPr>
          <w:i/>
          <w:color w:val="D99594" w:themeColor="accent2" w:themeTint="99"/>
          <w:lang w:val="en-GB"/>
        </w:rPr>
        <w:t>on should be provided if known</w:t>
      </w:r>
      <w:r w:rsidR="000125CD" w:rsidRPr="0026547E">
        <w:rPr>
          <w:i/>
          <w:color w:val="D99594" w:themeColor="accent2" w:themeTint="99"/>
          <w:lang w:val="en-GB"/>
        </w:rPr>
        <w:t>. Relevant updates to previous actions should also be summarised in this section (e.g., resumption of a clinical trial after suspension)</w:t>
      </w:r>
      <w:r w:rsidRPr="0026547E">
        <w:rPr>
          <w:i/>
          <w:color w:val="D99594" w:themeColor="accent2" w:themeTint="99"/>
          <w:lang w:val="en-GB"/>
        </w:rPr>
        <w:t>&gt;</w:t>
      </w:r>
      <w:r w:rsidR="00D61EE6" w:rsidRPr="0026547E">
        <w:rPr>
          <w:i/>
          <w:color w:val="D99594" w:themeColor="accent2" w:themeTint="99"/>
          <w:lang w:val="en-GB"/>
        </w:rPr>
        <w:t xml:space="preserve"> </w:t>
      </w:r>
      <w:commentRangeEnd w:id="16"/>
      <w:r w:rsidR="00B3141F" w:rsidRPr="0026547E">
        <w:rPr>
          <w:rStyle w:val="Kommentinviite"/>
          <w:color w:val="D99594" w:themeColor="accent2" w:themeTint="99"/>
          <w:lang w:val="en-GB"/>
        </w:rPr>
        <w:commentReference w:id="16"/>
      </w:r>
    </w:p>
    <w:p w14:paraId="1ACFCB0C" w14:textId="24FD8597" w:rsidR="00096E04" w:rsidRPr="00096E04" w:rsidRDefault="00096E04" w:rsidP="00980D94">
      <w:pPr>
        <w:rPr>
          <w:iCs/>
          <w:lang w:val="en-GB"/>
        </w:rPr>
      </w:pPr>
      <w:r>
        <w:rPr>
          <w:iCs/>
          <w:lang w:val="en-GB"/>
        </w:rPr>
        <w:t xml:space="preserve">The following actions were taken during the reporting period: </w:t>
      </w:r>
    </w:p>
    <w:p w14:paraId="2A92BD60" w14:textId="2B925FAE" w:rsidR="00D61EE6" w:rsidRPr="0026547E" w:rsidRDefault="00096E04" w:rsidP="00980D94">
      <w:pPr>
        <w:rPr>
          <w:i/>
          <w:color w:val="D99594" w:themeColor="accent2" w:themeTint="99"/>
          <w:lang w:val="en-GB"/>
        </w:rPr>
      </w:pPr>
      <w:r w:rsidRPr="0026547E">
        <w:rPr>
          <w:i/>
          <w:color w:val="D99594" w:themeColor="accent2" w:themeTint="99"/>
          <w:lang w:val="en-GB"/>
        </w:rPr>
        <w:t>&lt;</w:t>
      </w:r>
      <w:r w:rsidR="00396116" w:rsidRPr="0026547E">
        <w:rPr>
          <w:i/>
          <w:color w:val="D99594" w:themeColor="accent2" w:themeTint="99"/>
          <w:lang w:val="en-GB"/>
        </w:rPr>
        <w:t>OR, When</w:t>
      </w:r>
      <w:r w:rsidR="00D61EE6" w:rsidRPr="0026547E">
        <w:rPr>
          <w:i/>
          <w:color w:val="D99594" w:themeColor="accent2" w:themeTint="99"/>
          <w:lang w:val="en-GB"/>
        </w:rPr>
        <w:t xml:space="preserve"> no actions were ta</w:t>
      </w:r>
      <w:r w:rsidR="007D2A47" w:rsidRPr="0026547E">
        <w:rPr>
          <w:i/>
          <w:color w:val="D99594" w:themeColor="accent2" w:themeTint="99"/>
          <w:lang w:val="en-GB"/>
        </w:rPr>
        <w:t>ken you can state the following&gt;</w:t>
      </w:r>
    </w:p>
    <w:p w14:paraId="5A77CC89" w14:textId="68B32778" w:rsidR="00D61EE6" w:rsidRPr="0015768B" w:rsidRDefault="00D61EE6" w:rsidP="00980D94">
      <w:pPr>
        <w:rPr>
          <w:lang w:val="en-GB"/>
        </w:rPr>
      </w:pPr>
      <w:r w:rsidRPr="0015768B">
        <w:rPr>
          <w:lang w:val="en-GB"/>
        </w:rPr>
        <w:t>We have taken no actions for safety reasons during the</w:t>
      </w:r>
      <w:r w:rsidR="00184477" w:rsidRPr="0015768B">
        <w:rPr>
          <w:lang w:val="en-GB"/>
        </w:rPr>
        <w:t xml:space="preserve"> reporting</w:t>
      </w:r>
      <w:r w:rsidRPr="0015768B">
        <w:rPr>
          <w:lang w:val="en-GB"/>
        </w:rPr>
        <w:t xml:space="preserve"> period of this </w:t>
      </w:r>
      <w:r w:rsidR="00396116">
        <w:rPr>
          <w:lang w:val="en-GB"/>
        </w:rPr>
        <w:t>A</w:t>
      </w:r>
      <w:r w:rsidR="00396116" w:rsidRPr="0015768B">
        <w:rPr>
          <w:lang w:val="en-GB"/>
        </w:rPr>
        <w:t>SR and</w:t>
      </w:r>
      <w:r w:rsidR="007D2A47" w:rsidRPr="0015768B">
        <w:rPr>
          <w:lang w:val="en-GB"/>
        </w:rPr>
        <w:t xml:space="preserve"> have received no requests that place limitations on our study. </w:t>
      </w:r>
    </w:p>
    <w:p w14:paraId="40EE9A9B" w14:textId="77777777" w:rsidR="005F1103" w:rsidRPr="0015768B" w:rsidRDefault="00E64FFE" w:rsidP="005F1103">
      <w:pPr>
        <w:pStyle w:val="Otsikko1"/>
        <w:rPr>
          <w:lang w:val="en-GB"/>
        </w:rPr>
      </w:pPr>
      <w:bookmarkStart w:id="17" w:name="_Toc129683697"/>
      <w:r w:rsidRPr="0015768B">
        <w:rPr>
          <w:lang w:val="en-GB"/>
        </w:rPr>
        <w:lastRenderedPageBreak/>
        <w:t xml:space="preserve">4. Changes to </w:t>
      </w:r>
      <w:commentRangeStart w:id="18"/>
      <w:r w:rsidRPr="0015768B">
        <w:rPr>
          <w:lang w:val="en-GB"/>
        </w:rPr>
        <w:t>reference safety information</w:t>
      </w:r>
      <w:commentRangeEnd w:id="18"/>
      <w:r w:rsidR="00B3141F" w:rsidRPr="0015768B">
        <w:rPr>
          <w:rStyle w:val="Kommentinviite"/>
          <w:rFonts w:ascii="Segoe UI" w:hAnsi="Segoe UI"/>
          <w:b w:val="0"/>
          <w:bCs w:val="0"/>
          <w:color w:val="auto"/>
          <w:lang w:val="en-GB"/>
        </w:rPr>
        <w:commentReference w:id="18"/>
      </w:r>
      <w:bookmarkEnd w:id="17"/>
    </w:p>
    <w:p w14:paraId="32354212" w14:textId="77777777" w:rsidR="000F218A" w:rsidRPr="0026547E" w:rsidRDefault="000F218A" w:rsidP="000F218A">
      <w:pPr>
        <w:rPr>
          <w:i/>
          <w:color w:val="D99594" w:themeColor="accent2" w:themeTint="99"/>
          <w:lang w:val="en-GB"/>
        </w:rPr>
      </w:pPr>
      <w:r w:rsidRPr="0026547E">
        <w:rPr>
          <w:i/>
          <w:color w:val="D99594" w:themeColor="accent2" w:themeTint="99"/>
          <w:lang w:val="en-GB"/>
        </w:rPr>
        <w:t>&lt;This section should list any significant safety-related changes to the SmPC within the reporting period&gt;</w:t>
      </w:r>
    </w:p>
    <w:p w14:paraId="1CAE094C" w14:textId="6AA9BD7A" w:rsidR="00222DE6" w:rsidRPr="0015768B" w:rsidRDefault="00222DE6" w:rsidP="00095981">
      <w:pPr>
        <w:rPr>
          <w:lang w:val="en-GB"/>
        </w:rPr>
      </w:pPr>
      <w:r w:rsidRPr="0015768B">
        <w:rPr>
          <w:iCs/>
          <w:lang w:val="en-GB"/>
        </w:rPr>
        <w:t>As reference safety information (RS</w:t>
      </w:r>
      <w:r w:rsidR="00380DE8" w:rsidRPr="0015768B">
        <w:rPr>
          <w:iCs/>
          <w:lang w:val="en-GB"/>
        </w:rPr>
        <w:t>I</w:t>
      </w:r>
      <w:r w:rsidRPr="0015768B">
        <w:rPr>
          <w:iCs/>
          <w:lang w:val="en-GB"/>
        </w:rPr>
        <w:t xml:space="preserve">) </w:t>
      </w:r>
      <w:r w:rsidR="00BD4B76" w:rsidRPr="0015768B">
        <w:rPr>
          <w:iCs/>
          <w:lang w:val="en-GB"/>
        </w:rPr>
        <w:t xml:space="preserve">the </w:t>
      </w:r>
      <w:r w:rsidRPr="0015768B">
        <w:rPr>
          <w:iCs/>
          <w:lang w:val="en-GB"/>
        </w:rPr>
        <w:t xml:space="preserve">Summary of Product Characteristics (SmPC) </w:t>
      </w:r>
      <w:r w:rsidR="003658B1" w:rsidRPr="0015768B">
        <w:rPr>
          <w:iCs/>
          <w:lang w:val="en-GB"/>
        </w:rPr>
        <w:t xml:space="preserve">is used, which was </w:t>
      </w:r>
      <w:r w:rsidRPr="0015768B">
        <w:rPr>
          <w:iCs/>
          <w:lang w:val="en-GB"/>
        </w:rPr>
        <w:t xml:space="preserve">in effect at the beginning of the reporting period. This version dated </w:t>
      </w:r>
      <w:r w:rsidRPr="0015768B">
        <w:rPr>
          <w:iCs/>
          <w:highlight w:val="green"/>
          <w:lang w:val="en-GB"/>
        </w:rPr>
        <w:t>[add version date</w:t>
      </w:r>
      <w:r w:rsidR="00B5108D" w:rsidRPr="0015768B">
        <w:rPr>
          <w:iCs/>
          <w:highlight w:val="green"/>
          <w:lang w:val="en-GB"/>
        </w:rPr>
        <w:t>]</w:t>
      </w:r>
      <w:r w:rsidR="002001BB" w:rsidRPr="0015768B">
        <w:rPr>
          <w:iCs/>
          <w:lang w:val="en-GB"/>
        </w:rPr>
        <w:t xml:space="preserve"> is provided </w:t>
      </w:r>
      <w:r w:rsidR="008B2371">
        <w:rPr>
          <w:iCs/>
          <w:lang w:val="en-GB"/>
        </w:rPr>
        <w:t>with the submission</w:t>
      </w:r>
      <w:r w:rsidR="003658B1" w:rsidRPr="0015768B">
        <w:rPr>
          <w:iCs/>
          <w:lang w:val="en-GB"/>
        </w:rPr>
        <w:t>.</w:t>
      </w:r>
      <w:r w:rsidR="00B5108D" w:rsidRPr="0015768B">
        <w:rPr>
          <w:iCs/>
          <w:lang w:val="en-GB"/>
        </w:rPr>
        <w:t xml:space="preserve"> </w:t>
      </w:r>
    </w:p>
    <w:p w14:paraId="40E8CE1E" w14:textId="26984436" w:rsidR="00222DE6" w:rsidRDefault="00B5108D" w:rsidP="00095981">
      <w:pPr>
        <w:rPr>
          <w:lang w:val="en-GB"/>
        </w:rPr>
      </w:pPr>
      <w:r w:rsidRPr="0015768B">
        <w:rPr>
          <w:lang w:val="en-GB"/>
        </w:rPr>
        <w:t xml:space="preserve">No changes to </w:t>
      </w:r>
      <w:r w:rsidR="00F87A18" w:rsidRPr="0015768B">
        <w:rPr>
          <w:lang w:val="en-GB"/>
        </w:rPr>
        <w:t xml:space="preserve">RSI </w:t>
      </w:r>
      <w:r w:rsidRPr="0015768B">
        <w:rPr>
          <w:lang w:val="en-GB"/>
        </w:rPr>
        <w:t>were made</w:t>
      </w:r>
      <w:r w:rsidR="00184477" w:rsidRPr="0015768B">
        <w:rPr>
          <w:lang w:val="en-GB"/>
        </w:rPr>
        <w:t xml:space="preserve"> during the reporting period of this </w:t>
      </w:r>
      <w:r w:rsidR="00395CED">
        <w:rPr>
          <w:lang w:val="en-GB"/>
        </w:rPr>
        <w:t>ASR</w:t>
      </w:r>
      <w:r w:rsidR="00184477" w:rsidRPr="0015768B">
        <w:rPr>
          <w:lang w:val="en-GB"/>
        </w:rPr>
        <w:t>.</w:t>
      </w:r>
    </w:p>
    <w:p w14:paraId="3E3832DC" w14:textId="77777777" w:rsidR="00B5108D" w:rsidRPr="0026547E" w:rsidRDefault="00F87A18" w:rsidP="00095981">
      <w:pPr>
        <w:rPr>
          <w:i/>
          <w:color w:val="D99594" w:themeColor="accent2" w:themeTint="99"/>
          <w:lang w:val="en-GB"/>
        </w:rPr>
      </w:pPr>
      <w:r w:rsidRPr="0026547E">
        <w:rPr>
          <w:i/>
          <w:color w:val="D99594" w:themeColor="accent2" w:themeTint="99"/>
          <w:lang w:val="en-GB"/>
        </w:rPr>
        <w:t>&lt;</w:t>
      </w:r>
      <w:r w:rsidR="00B5108D" w:rsidRPr="0026547E">
        <w:rPr>
          <w:i/>
          <w:color w:val="D99594" w:themeColor="accent2" w:themeTint="99"/>
          <w:lang w:val="en-GB"/>
        </w:rPr>
        <w:t>OR</w:t>
      </w:r>
      <w:r w:rsidRPr="0026547E">
        <w:rPr>
          <w:i/>
          <w:color w:val="D99594" w:themeColor="accent2" w:themeTint="99"/>
          <w:lang w:val="en-GB"/>
        </w:rPr>
        <w:t xml:space="preserve">&gt; </w:t>
      </w:r>
    </w:p>
    <w:p w14:paraId="0D03F339" w14:textId="727C421D" w:rsidR="00F87A18" w:rsidRDefault="00D304D6" w:rsidP="00F87A18">
      <w:pPr>
        <w:rPr>
          <w:lang w:val="en-GB"/>
        </w:rPr>
      </w:pPr>
      <w:r w:rsidRPr="0015768B">
        <w:rPr>
          <w:lang w:val="en-GB"/>
        </w:rPr>
        <w:t>The following changes w</w:t>
      </w:r>
      <w:r w:rsidR="00F87A18" w:rsidRPr="0015768B">
        <w:rPr>
          <w:lang w:val="en-GB"/>
        </w:rPr>
        <w:t>ere made to the RSI</w:t>
      </w:r>
      <w:r w:rsidR="00DB41F7" w:rsidRPr="0015768B">
        <w:rPr>
          <w:lang w:val="en-GB"/>
        </w:rPr>
        <w:t xml:space="preserve"> during the reporting period of this </w:t>
      </w:r>
      <w:r w:rsidR="00395CED">
        <w:rPr>
          <w:lang w:val="en-GB"/>
        </w:rPr>
        <w:t>ASR:</w:t>
      </w:r>
    </w:p>
    <w:p w14:paraId="6FA5016D" w14:textId="77777777" w:rsidR="00B3319D" w:rsidRDefault="00F87A18" w:rsidP="00F87A18">
      <w:pPr>
        <w:rPr>
          <w:iCs/>
          <w:lang w:val="en-GB"/>
        </w:rPr>
      </w:pPr>
      <w:r w:rsidRPr="0015768B">
        <w:rPr>
          <w:iCs/>
          <w:lang w:val="en-GB"/>
        </w:rPr>
        <w:t xml:space="preserve">The </w:t>
      </w:r>
      <w:commentRangeStart w:id="19"/>
      <w:r w:rsidRPr="0015768B">
        <w:rPr>
          <w:iCs/>
          <w:lang w:val="en-GB"/>
        </w:rPr>
        <w:t>new</w:t>
      </w:r>
      <w:r w:rsidR="002001BB" w:rsidRPr="0015768B">
        <w:rPr>
          <w:iCs/>
          <w:lang w:val="en-GB"/>
        </w:rPr>
        <w:t xml:space="preserve"> RSI</w:t>
      </w:r>
      <w:r w:rsidRPr="0015768B">
        <w:rPr>
          <w:iCs/>
          <w:lang w:val="en-GB"/>
        </w:rPr>
        <w:t xml:space="preserve"> version </w:t>
      </w:r>
      <w:commentRangeEnd w:id="19"/>
      <w:r w:rsidR="00B3141F" w:rsidRPr="0015768B">
        <w:rPr>
          <w:rStyle w:val="Kommentinviite"/>
          <w:lang w:val="en-GB"/>
        </w:rPr>
        <w:commentReference w:id="19"/>
      </w:r>
      <w:r w:rsidRPr="0015768B">
        <w:rPr>
          <w:iCs/>
          <w:lang w:val="en-GB"/>
        </w:rPr>
        <w:t>dated [</w:t>
      </w:r>
      <w:r w:rsidRPr="002E6249">
        <w:rPr>
          <w:iCs/>
          <w:highlight w:val="green"/>
          <w:lang w:val="en-GB"/>
        </w:rPr>
        <w:t>add version date</w:t>
      </w:r>
      <w:r w:rsidRPr="0015768B">
        <w:rPr>
          <w:iCs/>
          <w:lang w:val="en-GB"/>
        </w:rPr>
        <w:t>]</w:t>
      </w:r>
      <w:r w:rsidR="008C274C">
        <w:rPr>
          <w:iCs/>
          <w:lang w:val="en-GB"/>
        </w:rPr>
        <w:t xml:space="preserve"> </w:t>
      </w:r>
      <w:r w:rsidRPr="0015768B">
        <w:rPr>
          <w:iCs/>
          <w:lang w:val="en-GB"/>
        </w:rPr>
        <w:t xml:space="preserve">is provided </w:t>
      </w:r>
      <w:r w:rsidR="004E35C4">
        <w:rPr>
          <w:iCs/>
          <w:lang w:val="en-GB"/>
        </w:rPr>
        <w:t xml:space="preserve">with the </w:t>
      </w:r>
      <w:r w:rsidR="0059790B">
        <w:rPr>
          <w:iCs/>
          <w:lang w:val="en-GB"/>
        </w:rPr>
        <w:t xml:space="preserve">ASR </w:t>
      </w:r>
      <w:r w:rsidR="004E35C4">
        <w:rPr>
          <w:iCs/>
          <w:lang w:val="en-GB"/>
        </w:rPr>
        <w:t>submission</w:t>
      </w:r>
      <w:r w:rsidR="004C532E">
        <w:rPr>
          <w:iCs/>
          <w:lang w:val="en-GB"/>
        </w:rPr>
        <w:t xml:space="preserve">. </w:t>
      </w:r>
    </w:p>
    <w:p w14:paraId="5C6048CF" w14:textId="77777777" w:rsidR="00D06E53" w:rsidRDefault="00B63C65" w:rsidP="00F87A18">
      <w:pPr>
        <w:rPr>
          <w:iCs/>
          <w:lang w:val="en-GB"/>
        </w:rPr>
      </w:pPr>
      <w:commentRangeStart w:id="20"/>
      <w:r>
        <w:rPr>
          <w:iCs/>
          <w:lang w:val="en-GB"/>
        </w:rPr>
        <w:t>The new SmPC</w:t>
      </w:r>
      <w:r w:rsidR="004C532E">
        <w:rPr>
          <w:iCs/>
          <w:lang w:val="en-GB"/>
        </w:rPr>
        <w:t xml:space="preserve"> was submitted </w:t>
      </w:r>
      <w:r>
        <w:rPr>
          <w:iCs/>
          <w:lang w:val="en-GB"/>
        </w:rPr>
        <w:t xml:space="preserve">as part of the substantial modification </w:t>
      </w:r>
      <w:r w:rsidR="00B3319D">
        <w:rPr>
          <w:iCs/>
          <w:lang w:val="en-GB"/>
        </w:rPr>
        <w:t>(SM-</w:t>
      </w:r>
      <w:r w:rsidR="00B3319D" w:rsidRPr="00B3319D">
        <w:rPr>
          <w:iCs/>
          <w:highlight w:val="green"/>
          <w:lang w:val="en-GB"/>
        </w:rPr>
        <w:t>XXX</w:t>
      </w:r>
      <w:r w:rsidR="00B3319D">
        <w:rPr>
          <w:iCs/>
          <w:lang w:val="en-GB"/>
        </w:rPr>
        <w:t>)</w:t>
      </w:r>
      <w:r w:rsidR="00D06E53">
        <w:rPr>
          <w:iCs/>
          <w:lang w:val="en-GB"/>
        </w:rPr>
        <w:t xml:space="preserve"> </w:t>
      </w:r>
    </w:p>
    <w:p w14:paraId="3A880560" w14:textId="553138E3" w:rsidR="004C532E" w:rsidRPr="0026547E" w:rsidRDefault="00D06E53" w:rsidP="00F87A18">
      <w:pPr>
        <w:rPr>
          <w:i/>
          <w:color w:val="D99594" w:themeColor="accent2" w:themeTint="99"/>
          <w:lang w:val="en-GB"/>
        </w:rPr>
      </w:pPr>
      <w:r w:rsidRPr="0026547E">
        <w:rPr>
          <w:i/>
          <w:color w:val="D99594" w:themeColor="accent2" w:themeTint="99"/>
          <w:lang w:val="en-GB"/>
        </w:rPr>
        <w:t xml:space="preserve">&lt;OR&gt; </w:t>
      </w:r>
    </w:p>
    <w:p w14:paraId="6BA45CC1" w14:textId="304B6EBE" w:rsidR="00D06E53" w:rsidRPr="00D06E53" w:rsidRDefault="00D06E53" w:rsidP="00F87A18">
      <w:pPr>
        <w:rPr>
          <w:iCs/>
          <w:lang w:val="en-GB"/>
        </w:rPr>
      </w:pPr>
      <w:r>
        <w:rPr>
          <w:iCs/>
          <w:lang w:val="en-GB"/>
        </w:rPr>
        <w:t xml:space="preserve">The new SmPC </w:t>
      </w:r>
      <w:r w:rsidR="001A7E9B">
        <w:rPr>
          <w:iCs/>
          <w:lang w:val="en-GB"/>
        </w:rPr>
        <w:t xml:space="preserve">version </w:t>
      </w:r>
      <w:r>
        <w:rPr>
          <w:iCs/>
          <w:lang w:val="en-GB"/>
        </w:rPr>
        <w:t xml:space="preserve">will be submitted </w:t>
      </w:r>
      <w:r w:rsidR="001A7E9B">
        <w:rPr>
          <w:iCs/>
          <w:lang w:val="en-GB"/>
        </w:rPr>
        <w:t xml:space="preserve">with the next clinical trial modification. </w:t>
      </w:r>
      <w:commentRangeEnd w:id="20"/>
      <w:r w:rsidR="004F1FE8">
        <w:rPr>
          <w:rStyle w:val="Kommentinviite"/>
        </w:rPr>
        <w:commentReference w:id="20"/>
      </w:r>
    </w:p>
    <w:p w14:paraId="5598F11C" w14:textId="580C5133" w:rsidR="00D06E53" w:rsidRPr="00D06E53" w:rsidRDefault="00D06E53" w:rsidP="00F87A18">
      <w:pPr>
        <w:rPr>
          <w:i/>
          <w:color w:val="E5B8B7" w:themeColor="accent2" w:themeTint="66"/>
          <w:lang w:val="en-GB"/>
        </w:rPr>
      </w:pPr>
    </w:p>
    <w:p w14:paraId="08F60873" w14:textId="77777777" w:rsidR="005F1103" w:rsidRPr="0015768B" w:rsidRDefault="00E64FFE" w:rsidP="005F1103">
      <w:pPr>
        <w:pStyle w:val="Otsikko1"/>
        <w:rPr>
          <w:lang w:val="en-GB"/>
        </w:rPr>
      </w:pPr>
      <w:bookmarkStart w:id="21" w:name="_Toc129683698"/>
      <w:r w:rsidRPr="0015768B">
        <w:rPr>
          <w:lang w:val="en-GB"/>
        </w:rPr>
        <w:t xml:space="preserve">5. Inventory of clinical trials ongoing and completed during the reporting </w:t>
      </w:r>
      <w:r w:rsidR="0044235B" w:rsidRPr="0015768B">
        <w:rPr>
          <w:lang w:val="en-GB"/>
        </w:rPr>
        <w:t>period</w:t>
      </w:r>
      <w:bookmarkEnd w:id="21"/>
      <w:r w:rsidR="00F93D02" w:rsidRPr="0015768B">
        <w:rPr>
          <w:lang w:val="en-GB"/>
        </w:rPr>
        <w:br/>
      </w:r>
    </w:p>
    <w:p w14:paraId="61AEC75E" w14:textId="094C0852" w:rsidR="00F93D02" w:rsidRPr="0026547E" w:rsidRDefault="00F93D02" w:rsidP="00F93D02">
      <w:pPr>
        <w:rPr>
          <w:i/>
          <w:color w:val="D99594" w:themeColor="accent2" w:themeTint="99"/>
          <w:lang w:val="en-GB"/>
        </w:rPr>
      </w:pPr>
      <w:r w:rsidRPr="0026547E">
        <w:rPr>
          <w:i/>
          <w:color w:val="D99594" w:themeColor="accent2" w:themeTint="99"/>
          <w:lang w:val="en-GB"/>
        </w:rPr>
        <w:t xml:space="preserve">&lt; This section should provide a brief overview of </w:t>
      </w:r>
      <w:r w:rsidR="00E044B5" w:rsidRPr="0026547E">
        <w:rPr>
          <w:i/>
          <w:color w:val="D99594" w:themeColor="accent2" w:themeTint="99"/>
          <w:lang w:val="en-GB"/>
        </w:rPr>
        <w:t>your</w:t>
      </w:r>
      <w:r w:rsidRPr="0026547E">
        <w:rPr>
          <w:i/>
          <w:color w:val="D99594" w:themeColor="accent2" w:themeTint="99"/>
          <w:lang w:val="en-GB"/>
        </w:rPr>
        <w:t xml:space="preserve"> </w:t>
      </w:r>
      <w:r w:rsidR="008A21BA" w:rsidRPr="0026547E">
        <w:rPr>
          <w:i/>
          <w:color w:val="D99594" w:themeColor="accent2" w:themeTint="99"/>
          <w:lang w:val="en-GB"/>
        </w:rPr>
        <w:t xml:space="preserve">ongoing </w:t>
      </w:r>
      <w:r w:rsidRPr="0026547E">
        <w:rPr>
          <w:i/>
          <w:color w:val="D99594" w:themeColor="accent2" w:themeTint="99"/>
          <w:lang w:val="en-GB"/>
        </w:rPr>
        <w:t xml:space="preserve">clinical trial, with </w:t>
      </w:r>
      <w:r w:rsidR="00982DCD" w:rsidRPr="0026547E">
        <w:rPr>
          <w:i/>
          <w:color w:val="D99594" w:themeColor="accent2" w:themeTint="99"/>
        </w:rPr>
        <w:t>with specific details outlined in a table, as illustrated in the example below</w:t>
      </w:r>
      <w:r w:rsidR="00E044B5" w:rsidRPr="0026547E">
        <w:rPr>
          <w:i/>
          <w:color w:val="D99594" w:themeColor="accent2" w:themeTint="99"/>
          <w:lang w:val="en-GB"/>
        </w:rPr>
        <w:t xml:space="preserve">. </w:t>
      </w:r>
      <w:r w:rsidR="007D50C1" w:rsidRPr="0026547E">
        <w:rPr>
          <w:i/>
          <w:color w:val="D99594" w:themeColor="accent2" w:themeTint="99"/>
          <w:lang w:val="en-GB"/>
        </w:rPr>
        <w:t>Only i</w:t>
      </w:r>
      <w:r w:rsidR="00E044B5" w:rsidRPr="0026547E">
        <w:rPr>
          <w:i/>
          <w:color w:val="D99594" w:themeColor="accent2" w:themeTint="99"/>
          <w:lang w:val="en-GB"/>
        </w:rPr>
        <w:t xml:space="preserve">nformation </w:t>
      </w:r>
      <w:r w:rsidR="00716D74" w:rsidRPr="0026547E">
        <w:rPr>
          <w:i/>
          <w:color w:val="D99594" w:themeColor="accent2" w:themeTint="99"/>
        </w:rPr>
        <w:t xml:space="preserve">pertaining to your clinical trial(s) should be included. </w:t>
      </w:r>
      <w:r w:rsidR="00B123E4" w:rsidRPr="0026547E">
        <w:rPr>
          <w:i/>
          <w:color w:val="D99594" w:themeColor="accent2" w:themeTint="99"/>
        </w:rPr>
        <w:t xml:space="preserve">Information </w:t>
      </w:r>
      <w:r w:rsidR="00716D74" w:rsidRPr="0026547E">
        <w:rPr>
          <w:i/>
          <w:color w:val="D99594" w:themeColor="accent2" w:themeTint="99"/>
        </w:rPr>
        <w:t xml:space="preserve">from </w:t>
      </w:r>
      <w:r w:rsidR="00C91D19" w:rsidRPr="0026547E">
        <w:rPr>
          <w:i/>
          <w:color w:val="D99594" w:themeColor="accent2" w:themeTint="99"/>
        </w:rPr>
        <w:t>clinical trials</w:t>
      </w:r>
      <w:r w:rsidR="00B123E4" w:rsidRPr="0026547E">
        <w:rPr>
          <w:i/>
          <w:color w:val="D99594" w:themeColor="accent2" w:themeTint="99"/>
        </w:rPr>
        <w:t xml:space="preserve"> conducted</w:t>
      </w:r>
      <w:r w:rsidR="00C91D19" w:rsidRPr="0026547E">
        <w:rPr>
          <w:i/>
          <w:color w:val="D99594" w:themeColor="accent2" w:themeTint="99"/>
        </w:rPr>
        <w:t xml:space="preserve"> </w:t>
      </w:r>
      <w:r w:rsidR="006E5CD5" w:rsidRPr="0026547E">
        <w:rPr>
          <w:i/>
          <w:color w:val="D99594" w:themeColor="accent2" w:themeTint="99"/>
        </w:rPr>
        <w:t>by</w:t>
      </w:r>
      <w:r w:rsidR="00C91D19" w:rsidRPr="0026547E">
        <w:rPr>
          <w:i/>
          <w:color w:val="D99594" w:themeColor="accent2" w:themeTint="99"/>
        </w:rPr>
        <w:t xml:space="preserve"> </w:t>
      </w:r>
      <w:r w:rsidR="00B123E4" w:rsidRPr="0026547E">
        <w:rPr>
          <w:i/>
          <w:color w:val="D99594" w:themeColor="accent2" w:themeTint="99"/>
        </w:rPr>
        <w:t>other</w:t>
      </w:r>
      <w:r w:rsidR="00C91D19" w:rsidRPr="0026547E">
        <w:rPr>
          <w:i/>
          <w:color w:val="D99594" w:themeColor="accent2" w:themeTint="99"/>
        </w:rPr>
        <w:t xml:space="preserve"> sponsors</w:t>
      </w:r>
      <w:r w:rsidR="00716D74" w:rsidRPr="0026547E">
        <w:rPr>
          <w:i/>
          <w:color w:val="D99594" w:themeColor="accent2" w:themeTint="99"/>
        </w:rPr>
        <w:t xml:space="preserve"> involving the same product(s) or indication(s) should not be included in this section.</w:t>
      </w:r>
      <w:r w:rsidRPr="0026547E">
        <w:rPr>
          <w:i/>
          <w:color w:val="D99594" w:themeColor="accent2" w:themeTint="99"/>
          <w:lang w:val="en-GB"/>
        </w:rPr>
        <w:t>&gt;</w:t>
      </w:r>
    </w:p>
    <w:p w14:paraId="092345B5" w14:textId="77777777" w:rsidR="00771B84" w:rsidRPr="0015768B" w:rsidRDefault="00076D45" w:rsidP="00771B84">
      <w:pPr>
        <w:rPr>
          <w:iCs/>
          <w:lang w:val="en-GB"/>
        </w:rPr>
      </w:pPr>
      <w:commentRangeStart w:id="22"/>
      <w:r w:rsidRPr="0015768B">
        <w:rPr>
          <w:iCs/>
          <w:lang w:val="en-GB"/>
        </w:rPr>
        <w:t xml:space="preserve">Overview of </w:t>
      </w:r>
      <w:r w:rsidR="008C52C1" w:rsidRPr="0015768B">
        <w:rPr>
          <w:iCs/>
          <w:lang w:val="en-GB"/>
        </w:rPr>
        <w:t xml:space="preserve">the </w:t>
      </w:r>
      <w:r w:rsidRPr="0015768B">
        <w:rPr>
          <w:iCs/>
          <w:lang w:val="en-GB"/>
        </w:rPr>
        <w:t>ongoing Stud</w:t>
      </w:r>
      <w:r w:rsidR="008C52C1" w:rsidRPr="0015768B">
        <w:rPr>
          <w:iCs/>
          <w:lang w:val="en-GB"/>
        </w:rPr>
        <w:t>y</w:t>
      </w:r>
      <w:r w:rsidRPr="0015768B">
        <w:rPr>
          <w:iCs/>
          <w:lang w:val="en-GB"/>
        </w:rPr>
        <w:t xml:space="preserve"> </w:t>
      </w:r>
      <w:commentRangeEnd w:id="22"/>
      <w:r w:rsidR="004677F3" w:rsidRPr="0015768B">
        <w:rPr>
          <w:rStyle w:val="Kommentinviite"/>
          <w:lang w:val="en-GB"/>
        </w:rPr>
        <w:commentReference w:id="22"/>
      </w:r>
      <w:r w:rsidRPr="0015768B">
        <w:rPr>
          <w:iCs/>
          <w:highlight w:val="green"/>
          <w:lang w:val="en-GB"/>
        </w:rPr>
        <w:t>[Study Drug]</w:t>
      </w:r>
    </w:p>
    <w:tbl>
      <w:tblPr>
        <w:tblStyle w:val="TaulukkoRuudukko"/>
        <w:tblW w:w="10414" w:type="dxa"/>
        <w:tblLayout w:type="fixed"/>
        <w:tblLook w:val="04A0" w:firstRow="1" w:lastRow="0" w:firstColumn="1" w:lastColumn="0" w:noHBand="0" w:noVBand="1"/>
      </w:tblPr>
      <w:tblGrid>
        <w:gridCol w:w="950"/>
        <w:gridCol w:w="950"/>
        <w:gridCol w:w="950"/>
        <w:gridCol w:w="1900"/>
        <w:gridCol w:w="1595"/>
        <w:gridCol w:w="993"/>
        <w:gridCol w:w="1417"/>
        <w:gridCol w:w="1659"/>
      </w:tblGrid>
      <w:tr w:rsidR="00B46BB5" w:rsidRPr="0015768B" w14:paraId="6CF17D49" w14:textId="77777777" w:rsidTr="007A5516">
        <w:trPr>
          <w:trHeight w:val="332"/>
        </w:trPr>
        <w:tc>
          <w:tcPr>
            <w:tcW w:w="950" w:type="dxa"/>
          </w:tcPr>
          <w:p w14:paraId="2935DB17" w14:textId="77777777" w:rsidR="00B46BB5" w:rsidRPr="0015768B" w:rsidRDefault="00B46BB5" w:rsidP="00076D45">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EU CT number </w:t>
            </w:r>
          </w:p>
        </w:tc>
        <w:tc>
          <w:tcPr>
            <w:tcW w:w="950" w:type="dxa"/>
          </w:tcPr>
          <w:p w14:paraId="1222CCE3" w14:textId="77777777" w:rsidR="00B46BB5" w:rsidRPr="0015768B" w:rsidRDefault="00B46BB5" w:rsidP="00076D45">
            <w:pPr>
              <w:autoSpaceDE w:val="0"/>
              <w:autoSpaceDN w:val="0"/>
              <w:adjustRightInd w:val="0"/>
              <w:rPr>
                <w:rFonts w:cs="Segoe UI"/>
                <w:b/>
                <w:color w:val="000000"/>
                <w:sz w:val="16"/>
                <w:szCs w:val="16"/>
                <w:lang w:val="en-GB"/>
              </w:rPr>
            </w:pPr>
            <w:r w:rsidRPr="0015768B">
              <w:rPr>
                <w:rFonts w:cs="Segoe UI"/>
                <w:b/>
                <w:color w:val="000000"/>
                <w:sz w:val="16"/>
                <w:szCs w:val="16"/>
                <w:lang w:val="en-GB"/>
              </w:rPr>
              <w:t>Internal protocol number</w:t>
            </w:r>
          </w:p>
        </w:tc>
        <w:tc>
          <w:tcPr>
            <w:tcW w:w="950" w:type="dxa"/>
          </w:tcPr>
          <w:p w14:paraId="5C1AD789" w14:textId="77777777" w:rsidR="00512BEE" w:rsidRPr="0015768B" w:rsidRDefault="00B46BB5" w:rsidP="00076D45">
            <w:pPr>
              <w:autoSpaceDE w:val="0"/>
              <w:autoSpaceDN w:val="0"/>
              <w:adjustRightInd w:val="0"/>
              <w:rPr>
                <w:rFonts w:cs="Segoe UI"/>
                <w:b/>
                <w:color w:val="000000"/>
                <w:sz w:val="16"/>
                <w:szCs w:val="16"/>
                <w:lang w:val="en-GB"/>
              </w:rPr>
            </w:pPr>
            <w:r w:rsidRPr="0015768B">
              <w:rPr>
                <w:rFonts w:cs="Segoe UI"/>
                <w:b/>
                <w:color w:val="000000"/>
                <w:sz w:val="16"/>
                <w:szCs w:val="16"/>
                <w:lang w:val="en-GB"/>
              </w:rPr>
              <w:t>Country/</w:t>
            </w:r>
          </w:p>
          <w:p w14:paraId="0CCB9005" w14:textId="77777777" w:rsidR="00B46BB5" w:rsidRPr="0015768B" w:rsidRDefault="00512BEE" w:rsidP="00076D45">
            <w:pPr>
              <w:autoSpaceDE w:val="0"/>
              <w:autoSpaceDN w:val="0"/>
              <w:adjustRightInd w:val="0"/>
              <w:rPr>
                <w:rFonts w:cs="Segoe UI"/>
                <w:b/>
                <w:color w:val="000000"/>
                <w:sz w:val="16"/>
                <w:szCs w:val="16"/>
                <w:lang w:val="en-GB"/>
              </w:rPr>
            </w:pPr>
            <w:r w:rsidRPr="0015768B">
              <w:rPr>
                <w:rFonts w:cs="Segoe UI"/>
                <w:b/>
                <w:color w:val="000000"/>
                <w:sz w:val="16"/>
                <w:szCs w:val="16"/>
                <w:lang w:val="en-GB"/>
              </w:rPr>
              <w:t>Countr</w:t>
            </w:r>
            <w:r w:rsidR="00B46BB5" w:rsidRPr="0015768B">
              <w:rPr>
                <w:rFonts w:cs="Segoe UI"/>
                <w:b/>
                <w:color w:val="000000"/>
                <w:sz w:val="16"/>
                <w:szCs w:val="16"/>
                <w:lang w:val="en-GB"/>
              </w:rPr>
              <w:t xml:space="preserve">ies </w:t>
            </w:r>
          </w:p>
        </w:tc>
        <w:tc>
          <w:tcPr>
            <w:tcW w:w="1900" w:type="dxa"/>
          </w:tcPr>
          <w:p w14:paraId="7860BCD8" w14:textId="77777777" w:rsidR="00B46BB5" w:rsidRPr="0015768B" w:rsidRDefault="00B46BB5" w:rsidP="00076D45">
            <w:pPr>
              <w:autoSpaceDE w:val="0"/>
              <w:autoSpaceDN w:val="0"/>
              <w:adjustRightInd w:val="0"/>
              <w:rPr>
                <w:rFonts w:cs="Segoe UI"/>
                <w:b/>
                <w:color w:val="000000"/>
                <w:sz w:val="16"/>
                <w:szCs w:val="16"/>
                <w:lang w:val="en-GB"/>
              </w:rPr>
            </w:pPr>
            <w:commentRangeStart w:id="23"/>
            <w:r w:rsidRPr="0015768B">
              <w:rPr>
                <w:rFonts w:cs="Segoe UI"/>
                <w:b/>
                <w:color w:val="000000"/>
                <w:sz w:val="16"/>
                <w:szCs w:val="16"/>
                <w:lang w:val="en-GB"/>
              </w:rPr>
              <w:t xml:space="preserve">Study design (including randomisation ratio) </w:t>
            </w:r>
            <w:commentRangeEnd w:id="23"/>
            <w:r w:rsidRPr="0015768B">
              <w:rPr>
                <w:rStyle w:val="Kommentinviite"/>
                <w:lang w:val="en-GB"/>
              </w:rPr>
              <w:commentReference w:id="23"/>
            </w:r>
          </w:p>
        </w:tc>
        <w:tc>
          <w:tcPr>
            <w:tcW w:w="1595" w:type="dxa"/>
          </w:tcPr>
          <w:p w14:paraId="3239B10B" w14:textId="77777777" w:rsidR="00B46BB5" w:rsidRPr="0015768B" w:rsidRDefault="00B46BB5" w:rsidP="00076D45">
            <w:pPr>
              <w:autoSpaceDE w:val="0"/>
              <w:autoSpaceDN w:val="0"/>
              <w:adjustRightInd w:val="0"/>
              <w:rPr>
                <w:rFonts w:cs="Segoe UI"/>
                <w:b/>
                <w:color w:val="000000"/>
                <w:sz w:val="16"/>
                <w:szCs w:val="16"/>
                <w:lang w:val="en-GB"/>
              </w:rPr>
            </w:pPr>
            <w:commentRangeStart w:id="24"/>
            <w:r w:rsidRPr="0015768B">
              <w:rPr>
                <w:rFonts w:cs="Segoe UI"/>
                <w:b/>
                <w:color w:val="000000"/>
                <w:sz w:val="16"/>
                <w:szCs w:val="16"/>
                <w:lang w:val="en-GB"/>
              </w:rPr>
              <w:t xml:space="preserve">Study population </w:t>
            </w:r>
            <w:commentRangeEnd w:id="24"/>
            <w:r w:rsidRPr="0015768B">
              <w:rPr>
                <w:rStyle w:val="Kommentinviite"/>
                <w:lang w:val="en-GB"/>
              </w:rPr>
              <w:commentReference w:id="24"/>
            </w:r>
          </w:p>
        </w:tc>
        <w:tc>
          <w:tcPr>
            <w:tcW w:w="993" w:type="dxa"/>
          </w:tcPr>
          <w:p w14:paraId="6A49AF29" w14:textId="77777777" w:rsidR="00B46BB5" w:rsidRPr="0015768B" w:rsidRDefault="00B46BB5" w:rsidP="00076D45">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Start date </w:t>
            </w:r>
          </w:p>
        </w:tc>
        <w:tc>
          <w:tcPr>
            <w:tcW w:w="1417" w:type="dxa"/>
          </w:tcPr>
          <w:p w14:paraId="27D1B2A1" w14:textId="77777777" w:rsidR="00B46BB5" w:rsidRPr="0015768B" w:rsidRDefault="00B46BB5" w:rsidP="00076D45">
            <w:pPr>
              <w:autoSpaceDE w:val="0"/>
              <w:autoSpaceDN w:val="0"/>
              <w:adjustRightInd w:val="0"/>
              <w:rPr>
                <w:rFonts w:cs="Segoe UI"/>
                <w:b/>
                <w:color w:val="000000"/>
                <w:sz w:val="16"/>
                <w:szCs w:val="16"/>
                <w:lang w:val="en-GB"/>
              </w:rPr>
            </w:pPr>
            <w:commentRangeStart w:id="25"/>
            <w:r w:rsidRPr="0015768B">
              <w:rPr>
                <w:rFonts w:cs="Segoe UI"/>
                <w:b/>
                <w:color w:val="000000"/>
                <w:sz w:val="16"/>
                <w:szCs w:val="16"/>
                <w:lang w:val="en-GB"/>
              </w:rPr>
              <w:t xml:space="preserve">Planned enrolment </w:t>
            </w:r>
            <w:commentRangeEnd w:id="25"/>
            <w:r w:rsidR="00D37E51">
              <w:rPr>
                <w:rStyle w:val="Kommentinviite"/>
              </w:rPr>
              <w:commentReference w:id="25"/>
            </w:r>
          </w:p>
        </w:tc>
        <w:tc>
          <w:tcPr>
            <w:tcW w:w="1659" w:type="dxa"/>
          </w:tcPr>
          <w:p w14:paraId="32BE9232" w14:textId="77777777" w:rsidR="00B46BB5" w:rsidRPr="0015768B" w:rsidRDefault="00B46BB5" w:rsidP="00076D45">
            <w:pPr>
              <w:autoSpaceDE w:val="0"/>
              <w:autoSpaceDN w:val="0"/>
              <w:adjustRightInd w:val="0"/>
              <w:rPr>
                <w:rFonts w:cs="Segoe UI"/>
                <w:b/>
                <w:color w:val="000000"/>
                <w:sz w:val="16"/>
                <w:szCs w:val="16"/>
                <w:lang w:val="en-GB"/>
              </w:rPr>
            </w:pPr>
            <w:r w:rsidRPr="0015768B">
              <w:rPr>
                <w:rFonts w:cs="Segoe UI"/>
                <w:b/>
                <w:color w:val="000000"/>
                <w:sz w:val="16"/>
                <w:szCs w:val="16"/>
                <w:lang w:val="en-GB"/>
              </w:rPr>
              <w:t>S</w:t>
            </w:r>
            <w:commentRangeStart w:id="26"/>
            <w:r w:rsidRPr="0015768B">
              <w:rPr>
                <w:rFonts w:cs="Segoe UI"/>
                <w:b/>
                <w:color w:val="000000"/>
                <w:sz w:val="16"/>
                <w:szCs w:val="16"/>
                <w:lang w:val="en-GB"/>
              </w:rPr>
              <w:t xml:space="preserve">ubject </w:t>
            </w:r>
          </w:p>
          <w:p w14:paraId="53FB5B7C" w14:textId="77777777" w:rsidR="00B46BB5" w:rsidRPr="0015768B" w:rsidRDefault="00B46BB5" w:rsidP="00076D45">
            <w:pPr>
              <w:autoSpaceDE w:val="0"/>
              <w:autoSpaceDN w:val="0"/>
              <w:adjustRightInd w:val="0"/>
              <w:rPr>
                <w:rFonts w:cs="Segoe UI"/>
                <w:b/>
                <w:color w:val="000000"/>
                <w:sz w:val="16"/>
                <w:szCs w:val="16"/>
                <w:lang w:val="en-GB"/>
              </w:rPr>
            </w:pPr>
            <w:r w:rsidRPr="0015768B">
              <w:rPr>
                <w:rFonts w:cs="Segoe UI"/>
                <w:b/>
                <w:color w:val="000000"/>
                <w:sz w:val="16"/>
                <w:szCs w:val="16"/>
                <w:lang w:val="en-GB"/>
              </w:rPr>
              <w:t>exposure **</w:t>
            </w:r>
            <w:commentRangeEnd w:id="26"/>
            <w:r w:rsidRPr="0015768B">
              <w:rPr>
                <w:rStyle w:val="Kommentinviite"/>
                <w:lang w:val="en-GB"/>
              </w:rPr>
              <w:commentReference w:id="26"/>
            </w:r>
          </w:p>
        </w:tc>
      </w:tr>
      <w:tr w:rsidR="00B46BB5" w:rsidRPr="0015768B" w14:paraId="1EAA61EE" w14:textId="77777777" w:rsidTr="007A5516">
        <w:tc>
          <w:tcPr>
            <w:tcW w:w="950" w:type="dxa"/>
          </w:tcPr>
          <w:p w14:paraId="0760402D" w14:textId="77777777" w:rsidR="00B46BB5" w:rsidRPr="0015768B" w:rsidRDefault="00B46BB5" w:rsidP="00B365F9">
            <w:pPr>
              <w:rPr>
                <w:lang w:val="en-GB"/>
              </w:rPr>
            </w:pPr>
          </w:p>
        </w:tc>
        <w:tc>
          <w:tcPr>
            <w:tcW w:w="950" w:type="dxa"/>
          </w:tcPr>
          <w:p w14:paraId="128AAC22" w14:textId="77777777" w:rsidR="00B46BB5" w:rsidRPr="0015768B" w:rsidRDefault="00B46BB5" w:rsidP="00B365F9">
            <w:pPr>
              <w:rPr>
                <w:lang w:val="en-GB"/>
              </w:rPr>
            </w:pPr>
          </w:p>
        </w:tc>
        <w:tc>
          <w:tcPr>
            <w:tcW w:w="950" w:type="dxa"/>
          </w:tcPr>
          <w:p w14:paraId="6CFA4727" w14:textId="77777777" w:rsidR="00B46BB5" w:rsidRPr="0015768B" w:rsidRDefault="00B46BB5" w:rsidP="00B365F9">
            <w:pPr>
              <w:rPr>
                <w:lang w:val="en-GB"/>
              </w:rPr>
            </w:pPr>
          </w:p>
        </w:tc>
        <w:tc>
          <w:tcPr>
            <w:tcW w:w="1900" w:type="dxa"/>
          </w:tcPr>
          <w:p w14:paraId="588882DA" w14:textId="77777777" w:rsidR="00B46BB5" w:rsidRPr="0015768B" w:rsidRDefault="00B46BB5" w:rsidP="00B365F9">
            <w:pPr>
              <w:rPr>
                <w:lang w:val="en-GB"/>
              </w:rPr>
            </w:pPr>
          </w:p>
        </w:tc>
        <w:tc>
          <w:tcPr>
            <w:tcW w:w="1595" w:type="dxa"/>
          </w:tcPr>
          <w:p w14:paraId="0810BD64" w14:textId="77777777" w:rsidR="00B46BB5" w:rsidRPr="0015768B" w:rsidRDefault="00B46BB5" w:rsidP="00B365F9">
            <w:pPr>
              <w:rPr>
                <w:lang w:val="en-GB"/>
              </w:rPr>
            </w:pPr>
          </w:p>
        </w:tc>
        <w:tc>
          <w:tcPr>
            <w:tcW w:w="993" w:type="dxa"/>
          </w:tcPr>
          <w:p w14:paraId="053E50CA" w14:textId="77777777" w:rsidR="00B46BB5" w:rsidRPr="0015768B" w:rsidRDefault="00B46BB5" w:rsidP="00B365F9">
            <w:pPr>
              <w:rPr>
                <w:lang w:val="en-GB"/>
              </w:rPr>
            </w:pPr>
          </w:p>
        </w:tc>
        <w:tc>
          <w:tcPr>
            <w:tcW w:w="1417" w:type="dxa"/>
          </w:tcPr>
          <w:p w14:paraId="42AE1659" w14:textId="77777777" w:rsidR="00B46BB5" w:rsidRPr="0015768B" w:rsidRDefault="00B46BB5" w:rsidP="00B365F9">
            <w:pPr>
              <w:rPr>
                <w:lang w:val="en-GB"/>
              </w:rPr>
            </w:pPr>
          </w:p>
        </w:tc>
        <w:tc>
          <w:tcPr>
            <w:tcW w:w="1659" w:type="dxa"/>
          </w:tcPr>
          <w:p w14:paraId="2B9C1A51" w14:textId="77777777" w:rsidR="00B46BB5" w:rsidRPr="0015768B" w:rsidRDefault="00B46BB5" w:rsidP="00B365F9">
            <w:pPr>
              <w:rPr>
                <w:lang w:val="en-GB"/>
              </w:rPr>
            </w:pPr>
          </w:p>
        </w:tc>
      </w:tr>
      <w:tr w:rsidR="00B46BB5" w:rsidRPr="0015768B" w14:paraId="37C54626" w14:textId="77777777" w:rsidTr="007A5516">
        <w:tc>
          <w:tcPr>
            <w:tcW w:w="950" w:type="dxa"/>
          </w:tcPr>
          <w:p w14:paraId="097BAC66" w14:textId="77777777" w:rsidR="00B46BB5" w:rsidRPr="0015768B" w:rsidRDefault="00B46BB5" w:rsidP="00B365F9">
            <w:pPr>
              <w:rPr>
                <w:lang w:val="en-GB"/>
              </w:rPr>
            </w:pPr>
          </w:p>
        </w:tc>
        <w:tc>
          <w:tcPr>
            <w:tcW w:w="950" w:type="dxa"/>
          </w:tcPr>
          <w:p w14:paraId="68917CB9" w14:textId="77777777" w:rsidR="00B46BB5" w:rsidRPr="0015768B" w:rsidRDefault="00B46BB5" w:rsidP="00B365F9">
            <w:pPr>
              <w:rPr>
                <w:lang w:val="en-GB"/>
              </w:rPr>
            </w:pPr>
          </w:p>
        </w:tc>
        <w:tc>
          <w:tcPr>
            <w:tcW w:w="950" w:type="dxa"/>
          </w:tcPr>
          <w:p w14:paraId="306AC3D6" w14:textId="77777777" w:rsidR="00B46BB5" w:rsidRPr="0015768B" w:rsidRDefault="00B46BB5" w:rsidP="00B365F9">
            <w:pPr>
              <w:rPr>
                <w:lang w:val="en-GB"/>
              </w:rPr>
            </w:pPr>
          </w:p>
        </w:tc>
        <w:tc>
          <w:tcPr>
            <w:tcW w:w="1900" w:type="dxa"/>
          </w:tcPr>
          <w:p w14:paraId="0AE7C189" w14:textId="77777777" w:rsidR="00B46BB5" w:rsidRPr="0015768B" w:rsidRDefault="00B46BB5" w:rsidP="00B365F9">
            <w:pPr>
              <w:rPr>
                <w:lang w:val="en-GB"/>
              </w:rPr>
            </w:pPr>
          </w:p>
        </w:tc>
        <w:tc>
          <w:tcPr>
            <w:tcW w:w="1595" w:type="dxa"/>
          </w:tcPr>
          <w:p w14:paraId="77F8619C" w14:textId="77777777" w:rsidR="00B46BB5" w:rsidRPr="0015768B" w:rsidRDefault="00B46BB5" w:rsidP="00B365F9">
            <w:pPr>
              <w:rPr>
                <w:lang w:val="en-GB"/>
              </w:rPr>
            </w:pPr>
          </w:p>
        </w:tc>
        <w:tc>
          <w:tcPr>
            <w:tcW w:w="993" w:type="dxa"/>
          </w:tcPr>
          <w:p w14:paraId="0EC58A65" w14:textId="77777777" w:rsidR="00B46BB5" w:rsidRPr="0015768B" w:rsidRDefault="00B46BB5" w:rsidP="00B365F9">
            <w:pPr>
              <w:rPr>
                <w:lang w:val="en-GB"/>
              </w:rPr>
            </w:pPr>
          </w:p>
        </w:tc>
        <w:tc>
          <w:tcPr>
            <w:tcW w:w="1417" w:type="dxa"/>
          </w:tcPr>
          <w:p w14:paraId="4B5B0DBF" w14:textId="77777777" w:rsidR="00B46BB5" w:rsidRPr="0015768B" w:rsidRDefault="00B46BB5" w:rsidP="00B365F9">
            <w:pPr>
              <w:rPr>
                <w:lang w:val="en-GB"/>
              </w:rPr>
            </w:pPr>
          </w:p>
        </w:tc>
        <w:tc>
          <w:tcPr>
            <w:tcW w:w="1659" w:type="dxa"/>
          </w:tcPr>
          <w:p w14:paraId="7F2B360B" w14:textId="77777777" w:rsidR="00B46BB5" w:rsidRPr="0015768B" w:rsidRDefault="00B46BB5" w:rsidP="00B365F9">
            <w:pPr>
              <w:rPr>
                <w:lang w:val="en-GB"/>
              </w:rPr>
            </w:pPr>
          </w:p>
        </w:tc>
      </w:tr>
      <w:tr w:rsidR="00B46BB5" w:rsidRPr="0015768B" w14:paraId="574760F2" w14:textId="77777777" w:rsidTr="00B46BB5">
        <w:tc>
          <w:tcPr>
            <w:tcW w:w="10414" w:type="dxa"/>
            <w:gridSpan w:val="8"/>
          </w:tcPr>
          <w:p w14:paraId="2620E6EA" w14:textId="77777777" w:rsidR="00B46BB5" w:rsidRPr="00026911" w:rsidRDefault="00B46BB5" w:rsidP="00076D45">
            <w:pPr>
              <w:rPr>
                <w:rFonts w:cs="Segoe UI"/>
                <w:sz w:val="16"/>
                <w:szCs w:val="16"/>
                <w:lang w:val="en-GB"/>
              </w:rPr>
            </w:pPr>
            <w:r w:rsidRPr="00026911">
              <w:rPr>
                <w:rFonts w:cs="Segoe UI"/>
                <w:b/>
                <w:bCs/>
                <w:sz w:val="16"/>
                <w:szCs w:val="16"/>
                <w:lang w:val="en-GB"/>
              </w:rPr>
              <w:t>**</w:t>
            </w:r>
            <w:r w:rsidRPr="00026911">
              <w:rPr>
                <w:rFonts w:cs="Segoe UI"/>
                <w:sz w:val="16"/>
                <w:szCs w:val="16"/>
                <w:lang w:val="en-GB"/>
              </w:rPr>
              <w:t>Based upon total number of patients recruited as of [</w:t>
            </w:r>
            <w:r w:rsidRPr="00026911">
              <w:rPr>
                <w:rFonts w:cs="Segoe UI"/>
                <w:sz w:val="16"/>
                <w:szCs w:val="16"/>
                <w:highlight w:val="green"/>
                <w:lang w:val="en-GB"/>
              </w:rPr>
              <w:t>date</w:t>
            </w:r>
            <w:r w:rsidRPr="00026911">
              <w:rPr>
                <w:rFonts w:cs="Segoe UI"/>
                <w:sz w:val="16"/>
                <w:szCs w:val="16"/>
                <w:lang w:val="en-GB"/>
              </w:rPr>
              <w:t>] and applied randomisation schemes</w:t>
            </w:r>
          </w:p>
        </w:tc>
      </w:tr>
    </w:tbl>
    <w:p w14:paraId="685EF7C2" w14:textId="77777777" w:rsidR="00076D45" w:rsidRDefault="00076D45" w:rsidP="00076D45">
      <w:pPr>
        <w:rPr>
          <w:iCs/>
          <w:lang w:val="en-GB"/>
        </w:rPr>
      </w:pPr>
    </w:p>
    <w:p w14:paraId="1E53B122" w14:textId="6ACF7648" w:rsidR="005A5074" w:rsidRPr="0015768B" w:rsidRDefault="00930AA7" w:rsidP="00076D45">
      <w:pPr>
        <w:rPr>
          <w:iCs/>
          <w:lang w:val="en-GB"/>
        </w:rPr>
      </w:pPr>
      <w:r w:rsidRPr="002B01A0">
        <w:rPr>
          <w:iCs/>
          <w:lang w:val="en-GB"/>
        </w:rPr>
        <w:t>No trial has been completed during the reporting period.</w:t>
      </w:r>
    </w:p>
    <w:p w14:paraId="4080E826" w14:textId="77777777" w:rsidR="005F1103" w:rsidRPr="0015768B" w:rsidRDefault="00E64FFE" w:rsidP="005F1103">
      <w:pPr>
        <w:pStyle w:val="Otsikko1"/>
        <w:rPr>
          <w:lang w:val="en-GB"/>
        </w:rPr>
      </w:pPr>
      <w:bookmarkStart w:id="27" w:name="_Toc129683699"/>
      <w:r w:rsidRPr="0015768B">
        <w:rPr>
          <w:lang w:val="en-GB"/>
        </w:rPr>
        <w:lastRenderedPageBreak/>
        <w:t>6. Estimated cumulative exposure</w:t>
      </w:r>
      <w:bookmarkEnd w:id="27"/>
      <w:r w:rsidRPr="0015768B">
        <w:rPr>
          <w:lang w:val="en-GB"/>
        </w:rPr>
        <w:t xml:space="preserve"> </w:t>
      </w:r>
    </w:p>
    <w:p w14:paraId="2C56D2BF" w14:textId="77777777" w:rsidR="005F1103" w:rsidRPr="0015768B" w:rsidRDefault="00E64FFE" w:rsidP="003F4EF9">
      <w:pPr>
        <w:pStyle w:val="Otsikko2"/>
        <w:rPr>
          <w:lang w:val="en-GB"/>
        </w:rPr>
      </w:pPr>
      <w:bookmarkStart w:id="28" w:name="_Toc129683700"/>
      <w:r w:rsidRPr="0015768B">
        <w:rPr>
          <w:lang w:val="en-GB"/>
        </w:rPr>
        <w:t xml:space="preserve">6.1. Cumulative subject exposure in the </w:t>
      </w:r>
      <w:r w:rsidR="0061681E" w:rsidRPr="0015768B">
        <w:rPr>
          <w:lang w:val="en-GB"/>
        </w:rPr>
        <w:t>study(</w:t>
      </w:r>
      <w:proofErr w:type="spellStart"/>
      <w:r w:rsidR="0061681E" w:rsidRPr="0015768B">
        <w:rPr>
          <w:lang w:val="en-GB"/>
        </w:rPr>
        <w:t>ies</w:t>
      </w:r>
      <w:proofErr w:type="spellEnd"/>
      <w:r w:rsidR="0061681E" w:rsidRPr="0015768B">
        <w:rPr>
          <w:lang w:val="en-GB"/>
        </w:rPr>
        <w:t>)</w:t>
      </w:r>
      <w:bookmarkEnd w:id="28"/>
    </w:p>
    <w:tbl>
      <w:tblPr>
        <w:tblStyle w:val="TaulukkoRuudukko"/>
        <w:tblW w:w="0" w:type="auto"/>
        <w:tblLook w:val="04A0" w:firstRow="1" w:lastRow="0" w:firstColumn="1" w:lastColumn="0" w:noHBand="0" w:noVBand="1"/>
      </w:tblPr>
      <w:tblGrid>
        <w:gridCol w:w="4677"/>
        <w:gridCol w:w="4673"/>
      </w:tblGrid>
      <w:tr w:rsidR="00E2639F" w:rsidRPr="0015768B" w14:paraId="0EA38365" w14:textId="77777777" w:rsidTr="00E2639F">
        <w:tc>
          <w:tcPr>
            <w:tcW w:w="4750" w:type="dxa"/>
          </w:tcPr>
          <w:p w14:paraId="19DFB42B" w14:textId="77777777" w:rsidR="00E2639F" w:rsidRPr="0015768B" w:rsidRDefault="00E2639F" w:rsidP="00E2639F">
            <w:pPr>
              <w:rPr>
                <w:b/>
                <w:sz w:val="16"/>
                <w:szCs w:val="16"/>
                <w:lang w:val="en-GB"/>
              </w:rPr>
            </w:pPr>
            <w:r w:rsidRPr="0015768B">
              <w:rPr>
                <w:b/>
                <w:sz w:val="16"/>
                <w:szCs w:val="16"/>
                <w:lang w:val="en-GB"/>
              </w:rPr>
              <w:t>Treatment</w:t>
            </w:r>
          </w:p>
        </w:tc>
        <w:tc>
          <w:tcPr>
            <w:tcW w:w="4750" w:type="dxa"/>
          </w:tcPr>
          <w:p w14:paraId="360F93BD" w14:textId="77777777" w:rsidR="00E2639F" w:rsidRPr="0015768B" w:rsidRDefault="00E2639F" w:rsidP="00E2639F">
            <w:pPr>
              <w:rPr>
                <w:b/>
                <w:sz w:val="16"/>
                <w:szCs w:val="16"/>
                <w:lang w:val="en-GB"/>
              </w:rPr>
            </w:pPr>
            <w:commentRangeStart w:id="29"/>
            <w:r w:rsidRPr="0015768B">
              <w:rPr>
                <w:b/>
                <w:sz w:val="16"/>
                <w:szCs w:val="16"/>
                <w:lang w:val="en-GB"/>
              </w:rPr>
              <w:t>Number of subjects</w:t>
            </w:r>
            <w:commentRangeEnd w:id="29"/>
            <w:r w:rsidR="004C5204">
              <w:rPr>
                <w:rStyle w:val="Kommentinviite"/>
              </w:rPr>
              <w:commentReference w:id="29"/>
            </w:r>
          </w:p>
        </w:tc>
      </w:tr>
      <w:tr w:rsidR="00E2639F" w:rsidRPr="0015768B" w14:paraId="3803C182" w14:textId="77777777" w:rsidTr="00E2639F">
        <w:tc>
          <w:tcPr>
            <w:tcW w:w="4750" w:type="dxa"/>
          </w:tcPr>
          <w:p w14:paraId="31F462FA" w14:textId="77777777" w:rsidR="00E2639F" w:rsidRPr="0015768B" w:rsidRDefault="00E2639F" w:rsidP="00E2639F">
            <w:pPr>
              <w:rPr>
                <w:sz w:val="16"/>
                <w:szCs w:val="16"/>
                <w:lang w:val="en-GB"/>
              </w:rPr>
            </w:pPr>
            <w:r w:rsidRPr="0015768B">
              <w:rPr>
                <w:sz w:val="16"/>
                <w:szCs w:val="16"/>
                <w:lang w:val="en-GB"/>
              </w:rPr>
              <w:t>Drug</w:t>
            </w:r>
          </w:p>
        </w:tc>
        <w:tc>
          <w:tcPr>
            <w:tcW w:w="4750" w:type="dxa"/>
          </w:tcPr>
          <w:p w14:paraId="0785EDE3" w14:textId="77777777" w:rsidR="00E2639F" w:rsidRPr="0015768B" w:rsidRDefault="00E2639F" w:rsidP="00E2639F">
            <w:pPr>
              <w:rPr>
                <w:sz w:val="16"/>
                <w:szCs w:val="16"/>
                <w:lang w:val="en-GB"/>
              </w:rPr>
            </w:pPr>
          </w:p>
        </w:tc>
      </w:tr>
      <w:tr w:rsidR="00E2639F" w:rsidRPr="0015768B" w14:paraId="44B70E8A" w14:textId="77777777" w:rsidTr="00E2639F">
        <w:tc>
          <w:tcPr>
            <w:tcW w:w="4750" w:type="dxa"/>
          </w:tcPr>
          <w:p w14:paraId="032359DE" w14:textId="77777777" w:rsidR="00E2639F" w:rsidRPr="0015768B" w:rsidRDefault="00E2639F" w:rsidP="00E2639F">
            <w:pPr>
              <w:rPr>
                <w:sz w:val="16"/>
                <w:szCs w:val="16"/>
                <w:lang w:val="en-GB"/>
              </w:rPr>
            </w:pPr>
            <w:r w:rsidRPr="0015768B">
              <w:rPr>
                <w:sz w:val="16"/>
                <w:szCs w:val="16"/>
                <w:lang w:val="en-GB"/>
              </w:rPr>
              <w:t>Comparator</w:t>
            </w:r>
          </w:p>
        </w:tc>
        <w:tc>
          <w:tcPr>
            <w:tcW w:w="4750" w:type="dxa"/>
          </w:tcPr>
          <w:p w14:paraId="7E3B519E" w14:textId="77777777" w:rsidR="00E2639F" w:rsidRPr="0015768B" w:rsidRDefault="00E2639F" w:rsidP="00E2639F">
            <w:pPr>
              <w:rPr>
                <w:sz w:val="16"/>
                <w:szCs w:val="16"/>
                <w:lang w:val="en-GB"/>
              </w:rPr>
            </w:pPr>
          </w:p>
        </w:tc>
      </w:tr>
      <w:tr w:rsidR="00E2639F" w:rsidRPr="0015768B" w14:paraId="79300649" w14:textId="77777777" w:rsidTr="00E2639F">
        <w:tc>
          <w:tcPr>
            <w:tcW w:w="4750" w:type="dxa"/>
          </w:tcPr>
          <w:p w14:paraId="3DB5A384" w14:textId="77777777" w:rsidR="00E2639F" w:rsidRPr="0015768B" w:rsidRDefault="00E2639F" w:rsidP="00E2639F">
            <w:pPr>
              <w:rPr>
                <w:sz w:val="16"/>
                <w:szCs w:val="16"/>
                <w:lang w:val="en-GB"/>
              </w:rPr>
            </w:pPr>
            <w:r w:rsidRPr="0015768B">
              <w:rPr>
                <w:sz w:val="16"/>
                <w:szCs w:val="16"/>
                <w:lang w:val="en-GB"/>
              </w:rPr>
              <w:t>Placebo</w:t>
            </w:r>
          </w:p>
        </w:tc>
        <w:tc>
          <w:tcPr>
            <w:tcW w:w="4750" w:type="dxa"/>
          </w:tcPr>
          <w:p w14:paraId="7C4EE18E" w14:textId="77777777" w:rsidR="00E2639F" w:rsidRPr="0015768B" w:rsidRDefault="00E2639F" w:rsidP="00E2639F">
            <w:pPr>
              <w:rPr>
                <w:sz w:val="16"/>
                <w:szCs w:val="16"/>
                <w:lang w:val="en-GB"/>
              </w:rPr>
            </w:pPr>
          </w:p>
        </w:tc>
      </w:tr>
    </w:tbl>
    <w:p w14:paraId="426E088B" w14:textId="77777777" w:rsidR="00E2639F" w:rsidRPr="0015768B" w:rsidRDefault="00E2639F" w:rsidP="00E2639F">
      <w:pPr>
        <w:rPr>
          <w:lang w:val="en-GB"/>
        </w:rPr>
      </w:pPr>
    </w:p>
    <w:p w14:paraId="124A973D" w14:textId="77777777" w:rsidR="00E2639F" w:rsidRPr="0015768B" w:rsidRDefault="00E64FFE" w:rsidP="00E2639F">
      <w:pPr>
        <w:pStyle w:val="Otsikko2"/>
        <w:rPr>
          <w:iCs/>
          <w:lang w:val="en-GB"/>
        </w:rPr>
      </w:pPr>
      <w:bookmarkStart w:id="30" w:name="_Toc129683701"/>
      <w:r w:rsidRPr="0015768B">
        <w:rPr>
          <w:lang w:val="en-GB"/>
        </w:rPr>
        <w:t>6.2. Patient exposure from marketing experience</w:t>
      </w:r>
      <w:r w:rsidR="00E2639F" w:rsidRPr="0015768B">
        <w:rPr>
          <w:lang w:val="en-GB"/>
        </w:rPr>
        <w:br/>
      </w:r>
      <w:r w:rsidRPr="0015768B">
        <w:rPr>
          <w:lang w:val="en-GB"/>
        </w:rPr>
        <w:t xml:space="preserve"> </w:t>
      </w:r>
      <w:r w:rsidR="00E2639F" w:rsidRPr="0015768B">
        <w:rPr>
          <w:rFonts w:ascii="Segoe UI" w:hAnsi="Segoe UI"/>
          <w:b w:val="0"/>
          <w:bCs w:val="0"/>
          <w:iCs/>
          <w:color w:val="auto"/>
          <w:sz w:val="22"/>
          <w:szCs w:val="22"/>
          <w:lang w:val="en-GB"/>
        </w:rPr>
        <w:t xml:space="preserve">Not applicable. </w:t>
      </w:r>
      <w:r w:rsidR="0076440A" w:rsidRPr="0015768B">
        <w:rPr>
          <w:rFonts w:ascii="Segoe UI" w:hAnsi="Segoe UI"/>
          <w:b w:val="0"/>
          <w:bCs w:val="0"/>
          <w:iCs/>
          <w:color w:val="auto"/>
          <w:sz w:val="22"/>
          <w:szCs w:val="22"/>
          <w:lang w:val="en-GB"/>
        </w:rPr>
        <w:t>The study drug is not marketed by the sponsor</w:t>
      </w:r>
      <w:r w:rsidR="0061681E" w:rsidRPr="0015768B">
        <w:rPr>
          <w:rFonts w:ascii="Segoe UI" w:hAnsi="Segoe UI"/>
          <w:b w:val="0"/>
          <w:bCs w:val="0"/>
          <w:iCs/>
          <w:color w:val="auto"/>
          <w:sz w:val="22"/>
          <w:szCs w:val="22"/>
          <w:lang w:val="en-GB"/>
        </w:rPr>
        <w:t>.</w:t>
      </w:r>
      <w:bookmarkEnd w:id="30"/>
    </w:p>
    <w:p w14:paraId="5298B15C" w14:textId="77777777" w:rsidR="005F1103" w:rsidRPr="0015768B" w:rsidRDefault="00E64FFE" w:rsidP="005F1103">
      <w:pPr>
        <w:pStyle w:val="Otsikko1"/>
        <w:rPr>
          <w:lang w:val="en-GB"/>
        </w:rPr>
      </w:pPr>
      <w:bookmarkStart w:id="31" w:name="_Toc129683702"/>
      <w:r w:rsidRPr="0015768B">
        <w:rPr>
          <w:lang w:val="en-GB"/>
        </w:rPr>
        <w:t>7. Data in line listings and summary tabulations</w:t>
      </w:r>
      <w:bookmarkEnd w:id="31"/>
    </w:p>
    <w:p w14:paraId="46D90B16" w14:textId="77777777" w:rsidR="005F1103" w:rsidRPr="0015768B" w:rsidRDefault="00E64FFE" w:rsidP="003F4EF9">
      <w:pPr>
        <w:pStyle w:val="Otsikko2"/>
        <w:rPr>
          <w:lang w:val="en-GB"/>
        </w:rPr>
      </w:pPr>
      <w:bookmarkStart w:id="32" w:name="_Toc129683703"/>
      <w:r w:rsidRPr="0015768B">
        <w:rPr>
          <w:lang w:val="en-GB"/>
        </w:rPr>
        <w:t>7.1. Reference information</w:t>
      </w:r>
      <w:bookmarkEnd w:id="32"/>
    </w:p>
    <w:p w14:paraId="2784BCE0" w14:textId="6F188636" w:rsidR="00833E69" w:rsidRDefault="00833E69" w:rsidP="00833E69">
      <w:pPr>
        <w:rPr>
          <w:lang w:val="en-GB"/>
        </w:rPr>
      </w:pPr>
      <w:r>
        <w:rPr>
          <w:lang w:val="en-GB"/>
        </w:rPr>
        <w:t>T</w:t>
      </w:r>
      <w:r w:rsidRPr="0015768B">
        <w:rPr>
          <w:lang w:val="en-GB"/>
        </w:rPr>
        <w:t xml:space="preserve">he </w:t>
      </w:r>
      <w:commentRangeStart w:id="33"/>
      <w:r w:rsidRPr="0015768B">
        <w:rPr>
          <w:lang w:val="en-GB"/>
        </w:rPr>
        <w:t xml:space="preserve">Medical Dictionary for Regulatory Activities (MedDRA) </w:t>
      </w:r>
      <w:commentRangeEnd w:id="33"/>
      <w:r w:rsidRPr="0015768B">
        <w:rPr>
          <w:rStyle w:val="Kommentinviite"/>
          <w:lang w:val="en-GB"/>
        </w:rPr>
        <w:commentReference w:id="33"/>
      </w:r>
      <w:r w:rsidRPr="0015768B">
        <w:rPr>
          <w:lang w:val="en-GB"/>
        </w:rPr>
        <w:t>version [</w:t>
      </w:r>
      <w:r w:rsidRPr="0015768B">
        <w:rPr>
          <w:highlight w:val="green"/>
          <w:lang w:val="en-GB"/>
        </w:rPr>
        <w:t>add version</w:t>
      </w:r>
      <w:r w:rsidRPr="0015768B">
        <w:rPr>
          <w:lang w:val="en-GB"/>
        </w:rPr>
        <w:t xml:space="preserve">] </w:t>
      </w:r>
      <w:r>
        <w:rPr>
          <w:lang w:val="en-GB"/>
        </w:rPr>
        <w:t xml:space="preserve">was used </w:t>
      </w:r>
      <w:r w:rsidRPr="0015768B">
        <w:rPr>
          <w:lang w:val="en-GB"/>
        </w:rPr>
        <w:t xml:space="preserve">for the coding of adverse events.  </w:t>
      </w:r>
    </w:p>
    <w:p w14:paraId="0F8B1DB7" w14:textId="4548FC95" w:rsidR="00C712BD" w:rsidRPr="0015768B" w:rsidRDefault="00833E69" w:rsidP="00C712BD">
      <w:pPr>
        <w:rPr>
          <w:lang w:val="en-GB"/>
        </w:rPr>
      </w:pPr>
      <w:r>
        <w:rPr>
          <w:iCs/>
          <w:lang w:val="en-GB"/>
        </w:rPr>
        <w:t xml:space="preserve">Please refer to section 4 with respect to information on the RSI.  </w:t>
      </w:r>
      <w:r w:rsidR="00D566A6">
        <w:rPr>
          <w:iCs/>
          <w:lang w:val="en-GB"/>
        </w:rPr>
        <w:t xml:space="preserve"> </w:t>
      </w:r>
      <w:r w:rsidR="00C712BD" w:rsidRPr="0015768B">
        <w:rPr>
          <w:iCs/>
          <w:lang w:val="en-GB"/>
        </w:rPr>
        <w:br/>
      </w:r>
    </w:p>
    <w:p w14:paraId="66FFBD56" w14:textId="77777777" w:rsidR="00363714" w:rsidRPr="0015768B" w:rsidRDefault="00E64FFE" w:rsidP="003F4EF9">
      <w:pPr>
        <w:pStyle w:val="Otsikko2"/>
        <w:rPr>
          <w:lang w:val="en-GB"/>
        </w:rPr>
      </w:pPr>
      <w:bookmarkStart w:id="34" w:name="_Toc129683704"/>
      <w:r w:rsidRPr="0015768B">
        <w:rPr>
          <w:lang w:val="en-GB"/>
        </w:rPr>
        <w:t xml:space="preserve">7.2. </w:t>
      </w:r>
      <w:commentRangeStart w:id="35"/>
      <w:r w:rsidRPr="0015768B">
        <w:rPr>
          <w:lang w:val="en-GB"/>
        </w:rPr>
        <w:t>Line listings of serious adverse reactions during the reporting period</w:t>
      </w:r>
      <w:commentRangeEnd w:id="35"/>
      <w:r w:rsidR="00B46BB5" w:rsidRPr="0015768B">
        <w:rPr>
          <w:rStyle w:val="Kommentinviite"/>
          <w:rFonts w:ascii="Segoe UI" w:hAnsi="Segoe UI"/>
          <w:b w:val="0"/>
          <w:bCs w:val="0"/>
          <w:color w:val="auto"/>
          <w:lang w:val="en-GB"/>
        </w:rPr>
        <w:commentReference w:id="35"/>
      </w:r>
      <w:bookmarkEnd w:id="34"/>
    </w:p>
    <w:p w14:paraId="7C0F6D7F" w14:textId="3EA06338" w:rsidR="005F1103" w:rsidRPr="0026547E" w:rsidRDefault="00C712BD" w:rsidP="00363714">
      <w:pPr>
        <w:rPr>
          <w:i/>
          <w:color w:val="D99594" w:themeColor="accent2" w:themeTint="99"/>
          <w:lang w:val="en-GB"/>
        </w:rPr>
      </w:pPr>
      <w:r w:rsidRPr="0026547E">
        <w:rPr>
          <w:i/>
          <w:color w:val="D99594" w:themeColor="accent2" w:themeTint="99"/>
          <w:lang w:val="en-GB"/>
        </w:rPr>
        <w:t>&lt;This section should provide key information on all SARs (blinded and unblinded) reported from the sponsor’s clinical trials during the reporting period.</w:t>
      </w:r>
      <w:r w:rsidR="00E719DD" w:rsidRPr="0026547E">
        <w:rPr>
          <w:i/>
          <w:color w:val="D99594" w:themeColor="accent2" w:themeTint="99"/>
          <w:lang w:val="en-GB"/>
        </w:rPr>
        <w:t xml:space="preserve"> </w:t>
      </w:r>
      <w:r w:rsidR="005E3A3D" w:rsidRPr="0026547E">
        <w:rPr>
          <w:i/>
          <w:color w:val="D99594" w:themeColor="accent2" w:themeTint="99"/>
        </w:rPr>
        <w:t>Include only serious adverse reactions, which are defined as serious adverse events that are at least possibly related to the IMP</w:t>
      </w:r>
      <w:r w:rsidR="00E43E59" w:rsidRPr="0026547E">
        <w:rPr>
          <w:i/>
          <w:color w:val="D99594" w:themeColor="accent2" w:themeTint="99"/>
          <w:lang w:val="en-GB"/>
        </w:rPr>
        <w:t xml:space="preserve">. </w:t>
      </w:r>
      <w:r w:rsidRPr="0026547E">
        <w:rPr>
          <w:i/>
          <w:color w:val="D99594" w:themeColor="accent2" w:themeTint="99"/>
          <w:lang w:val="en-GB"/>
        </w:rPr>
        <w:t>&gt;</w:t>
      </w:r>
      <w:r w:rsidRPr="0026547E">
        <w:rPr>
          <w:i/>
          <w:color w:val="D99594" w:themeColor="accent2" w:themeTint="99"/>
          <w:lang w:val="en-GB"/>
        </w:rPr>
        <w:br/>
      </w:r>
    </w:p>
    <w:tbl>
      <w:tblPr>
        <w:tblStyle w:val="TaulukkoRuudukko"/>
        <w:tblW w:w="9549" w:type="dxa"/>
        <w:tblLayout w:type="fixed"/>
        <w:tblLook w:val="04A0" w:firstRow="1" w:lastRow="0" w:firstColumn="1" w:lastColumn="0" w:noHBand="0" w:noVBand="1"/>
      </w:tblPr>
      <w:tblGrid>
        <w:gridCol w:w="950"/>
        <w:gridCol w:w="859"/>
        <w:gridCol w:w="993"/>
        <w:gridCol w:w="992"/>
        <w:gridCol w:w="956"/>
        <w:gridCol w:w="956"/>
        <w:gridCol w:w="872"/>
        <w:gridCol w:w="829"/>
        <w:gridCol w:w="1071"/>
        <w:gridCol w:w="1071"/>
      </w:tblGrid>
      <w:tr w:rsidR="00512BEE" w:rsidRPr="0015768B" w14:paraId="5D6A43E4" w14:textId="77777777" w:rsidTr="00512BEE">
        <w:trPr>
          <w:trHeight w:val="682"/>
        </w:trPr>
        <w:tc>
          <w:tcPr>
            <w:tcW w:w="950" w:type="dxa"/>
          </w:tcPr>
          <w:p w14:paraId="76E8987F"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Case ID/ </w:t>
            </w:r>
          </w:p>
          <w:p w14:paraId="542F279D"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Subject number*</w:t>
            </w:r>
          </w:p>
        </w:tc>
        <w:tc>
          <w:tcPr>
            <w:tcW w:w="859" w:type="dxa"/>
          </w:tcPr>
          <w:p w14:paraId="300F8608"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Country </w:t>
            </w:r>
          </w:p>
          <w:p w14:paraId="5E95AC22"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Gender </w:t>
            </w:r>
          </w:p>
          <w:p w14:paraId="2EF97C47"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Age</w:t>
            </w:r>
          </w:p>
        </w:tc>
        <w:tc>
          <w:tcPr>
            <w:tcW w:w="993" w:type="dxa"/>
          </w:tcPr>
          <w:p w14:paraId="34218729" w14:textId="77777777" w:rsidR="00512BEE" w:rsidRPr="0015768B" w:rsidRDefault="00512BEE" w:rsidP="00512BEE">
            <w:pPr>
              <w:autoSpaceDE w:val="0"/>
              <w:autoSpaceDN w:val="0"/>
              <w:adjustRightInd w:val="0"/>
              <w:rPr>
                <w:rFonts w:cs="Segoe UI"/>
                <w:b/>
                <w:color w:val="000000"/>
                <w:sz w:val="16"/>
                <w:szCs w:val="16"/>
                <w:lang w:val="en-GB"/>
              </w:rPr>
            </w:pPr>
            <w:commentRangeStart w:id="36"/>
            <w:r w:rsidRPr="0015768B">
              <w:rPr>
                <w:rFonts w:cs="Segoe UI"/>
                <w:b/>
                <w:color w:val="000000"/>
                <w:sz w:val="16"/>
                <w:szCs w:val="16"/>
                <w:lang w:val="en-GB"/>
              </w:rPr>
              <w:t xml:space="preserve">Serious adverse drug reactions (SARs) </w:t>
            </w:r>
            <w:commentRangeEnd w:id="36"/>
            <w:r w:rsidRPr="0015768B">
              <w:rPr>
                <w:rStyle w:val="Kommentinviite"/>
                <w:lang w:val="en-GB"/>
              </w:rPr>
              <w:commentReference w:id="36"/>
            </w:r>
          </w:p>
        </w:tc>
        <w:tc>
          <w:tcPr>
            <w:tcW w:w="992" w:type="dxa"/>
          </w:tcPr>
          <w:p w14:paraId="054B01CC"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Expected/unexpected</w:t>
            </w:r>
          </w:p>
        </w:tc>
        <w:tc>
          <w:tcPr>
            <w:tcW w:w="956" w:type="dxa"/>
          </w:tcPr>
          <w:p w14:paraId="299090AE"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Date of onset**</w:t>
            </w:r>
          </w:p>
          <w:p w14:paraId="2A0B2513"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Time to onset**</w:t>
            </w:r>
          </w:p>
        </w:tc>
        <w:tc>
          <w:tcPr>
            <w:tcW w:w="956" w:type="dxa"/>
          </w:tcPr>
          <w:p w14:paraId="089A16C8" w14:textId="77777777" w:rsidR="00512BEE" w:rsidRPr="0015768B" w:rsidRDefault="00512BEE" w:rsidP="00512BEE">
            <w:pPr>
              <w:autoSpaceDE w:val="0"/>
              <w:autoSpaceDN w:val="0"/>
              <w:adjustRightInd w:val="0"/>
              <w:rPr>
                <w:rFonts w:cs="Segoe UI"/>
                <w:b/>
                <w:color w:val="000000"/>
                <w:sz w:val="16"/>
                <w:szCs w:val="16"/>
                <w:lang w:val="en-GB"/>
              </w:rPr>
            </w:pPr>
            <w:commentRangeStart w:id="37"/>
            <w:r w:rsidRPr="0015768B">
              <w:rPr>
                <w:rFonts w:cs="Segoe UI"/>
                <w:b/>
                <w:color w:val="000000"/>
                <w:sz w:val="16"/>
                <w:szCs w:val="16"/>
                <w:lang w:val="en-GB"/>
              </w:rPr>
              <w:t>Outcome</w:t>
            </w:r>
            <w:commentRangeEnd w:id="37"/>
            <w:r w:rsidRPr="0015768B">
              <w:rPr>
                <w:rStyle w:val="Kommentinviite"/>
                <w:lang w:val="en-GB"/>
              </w:rPr>
              <w:commentReference w:id="37"/>
            </w:r>
          </w:p>
        </w:tc>
        <w:tc>
          <w:tcPr>
            <w:tcW w:w="872" w:type="dxa"/>
          </w:tcPr>
          <w:p w14:paraId="1A68B812"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Suspect Drug </w:t>
            </w:r>
          </w:p>
        </w:tc>
        <w:tc>
          <w:tcPr>
            <w:tcW w:w="829" w:type="dxa"/>
          </w:tcPr>
          <w:p w14:paraId="3E6A53F8"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Daily dose </w:t>
            </w:r>
          </w:p>
          <w:p w14:paraId="10242B3C"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Route </w:t>
            </w:r>
          </w:p>
          <w:p w14:paraId="569B63FA"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Formulation </w:t>
            </w:r>
          </w:p>
        </w:tc>
        <w:tc>
          <w:tcPr>
            <w:tcW w:w="1071" w:type="dxa"/>
          </w:tcPr>
          <w:p w14:paraId="22575D17"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Dates of treatment </w:t>
            </w:r>
          </w:p>
          <w:p w14:paraId="0C9B0B15"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Treatment duration</w:t>
            </w:r>
          </w:p>
        </w:tc>
        <w:tc>
          <w:tcPr>
            <w:tcW w:w="1071" w:type="dxa"/>
          </w:tcPr>
          <w:p w14:paraId="3304E24C" w14:textId="77777777" w:rsidR="00512BEE" w:rsidRPr="0015768B" w:rsidRDefault="00512BEE" w:rsidP="00512BEE">
            <w:pPr>
              <w:autoSpaceDE w:val="0"/>
              <w:autoSpaceDN w:val="0"/>
              <w:adjustRightInd w:val="0"/>
              <w:rPr>
                <w:rFonts w:cs="Segoe UI"/>
                <w:b/>
                <w:color w:val="000000"/>
                <w:sz w:val="16"/>
                <w:szCs w:val="16"/>
                <w:lang w:val="en-GB"/>
              </w:rPr>
            </w:pPr>
            <w:r w:rsidRPr="0015768B">
              <w:rPr>
                <w:rFonts w:cs="Segoe UI"/>
                <w:b/>
                <w:color w:val="000000"/>
                <w:sz w:val="16"/>
                <w:szCs w:val="16"/>
                <w:lang w:val="en-GB"/>
              </w:rPr>
              <w:t xml:space="preserve"> Comments</w:t>
            </w:r>
          </w:p>
        </w:tc>
      </w:tr>
      <w:tr w:rsidR="00512BEE" w:rsidRPr="0015768B" w14:paraId="0D7D7BF3" w14:textId="77777777" w:rsidTr="00512BEE">
        <w:trPr>
          <w:trHeight w:val="682"/>
        </w:trPr>
        <w:tc>
          <w:tcPr>
            <w:tcW w:w="950" w:type="dxa"/>
          </w:tcPr>
          <w:p w14:paraId="50BB6A34"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859" w:type="dxa"/>
          </w:tcPr>
          <w:p w14:paraId="40E627B4" w14:textId="77777777" w:rsidR="00512BEE" w:rsidRPr="0015768B" w:rsidRDefault="00512BEE" w:rsidP="00512BEE">
            <w:pPr>
              <w:autoSpaceDE w:val="0"/>
              <w:autoSpaceDN w:val="0"/>
              <w:adjustRightInd w:val="0"/>
              <w:rPr>
                <w:rFonts w:ascii="Lucida Sans Typewriter" w:hAnsi="Lucida Sans Typewriter" w:cs="Lucida Sans Typewriter"/>
                <w:color w:val="000000"/>
                <w:sz w:val="18"/>
                <w:szCs w:val="18"/>
                <w:lang w:val="en-GB"/>
              </w:rPr>
            </w:pPr>
          </w:p>
        </w:tc>
        <w:tc>
          <w:tcPr>
            <w:tcW w:w="993" w:type="dxa"/>
          </w:tcPr>
          <w:p w14:paraId="588E03EC"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992" w:type="dxa"/>
          </w:tcPr>
          <w:p w14:paraId="5B396546"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956" w:type="dxa"/>
          </w:tcPr>
          <w:p w14:paraId="43EF27E3"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956" w:type="dxa"/>
          </w:tcPr>
          <w:p w14:paraId="48DA1A2A"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872" w:type="dxa"/>
          </w:tcPr>
          <w:p w14:paraId="722A89E8"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829" w:type="dxa"/>
          </w:tcPr>
          <w:p w14:paraId="64F98283"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1071" w:type="dxa"/>
          </w:tcPr>
          <w:p w14:paraId="5310D7E5"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1071" w:type="dxa"/>
          </w:tcPr>
          <w:p w14:paraId="48375325"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r>
      <w:tr w:rsidR="00512BEE" w:rsidRPr="0015768B" w14:paraId="05863CE4" w14:textId="77777777" w:rsidTr="00512BEE">
        <w:trPr>
          <w:trHeight w:val="682"/>
        </w:trPr>
        <w:tc>
          <w:tcPr>
            <w:tcW w:w="950" w:type="dxa"/>
          </w:tcPr>
          <w:p w14:paraId="2208D406"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859" w:type="dxa"/>
          </w:tcPr>
          <w:p w14:paraId="47BAAD3E" w14:textId="77777777" w:rsidR="00512BEE" w:rsidRPr="0015768B" w:rsidRDefault="00512BEE" w:rsidP="00512BEE">
            <w:pPr>
              <w:autoSpaceDE w:val="0"/>
              <w:autoSpaceDN w:val="0"/>
              <w:adjustRightInd w:val="0"/>
              <w:rPr>
                <w:rFonts w:ascii="Lucida Sans Typewriter" w:hAnsi="Lucida Sans Typewriter" w:cs="Lucida Sans Typewriter"/>
                <w:color w:val="000000"/>
                <w:sz w:val="18"/>
                <w:szCs w:val="18"/>
                <w:lang w:val="en-GB"/>
              </w:rPr>
            </w:pPr>
          </w:p>
        </w:tc>
        <w:tc>
          <w:tcPr>
            <w:tcW w:w="993" w:type="dxa"/>
          </w:tcPr>
          <w:p w14:paraId="5F94ECCD"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992" w:type="dxa"/>
          </w:tcPr>
          <w:p w14:paraId="6F4D6709"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956" w:type="dxa"/>
          </w:tcPr>
          <w:p w14:paraId="0776BA10"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956" w:type="dxa"/>
          </w:tcPr>
          <w:p w14:paraId="70CC999A"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872" w:type="dxa"/>
          </w:tcPr>
          <w:p w14:paraId="742DA613"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829" w:type="dxa"/>
          </w:tcPr>
          <w:p w14:paraId="16490DEE"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1071" w:type="dxa"/>
          </w:tcPr>
          <w:p w14:paraId="0BA83403"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c>
          <w:tcPr>
            <w:tcW w:w="1071" w:type="dxa"/>
          </w:tcPr>
          <w:p w14:paraId="4EE014AE"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r>
      <w:tr w:rsidR="00512BEE" w:rsidRPr="0015768B" w14:paraId="1803819D" w14:textId="77777777" w:rsidTr="00A10696">
        <w:trPr>
          <w:trHeight w:val="682"/>
        </w:trPr>
        <w:tc>
          <w:tcPr>
            <w:tcW w:w="9549" w:type="dxa"/>
            <w:gridSpan w:val="10"/>
          </w:tcPr>
          <w:p w14:paraId="09DABCF7" w14:textId="77777777" w:rsidR="00512BEE" w:rsidRPr="0015768B" w:rsidRDefault="00512BEE" w:rsidP="00512BEE">
            <w:pPr>
              <w:autoSpaceDE w:val="0"/>
              <w:autoSpaceDN w:val="0"/>
              <w:adjustRightInd w:val="0"/>
              <w:rPr>
                <w:rFonts w:cs="Segoe UI"/>
                <w:color w:val="000000"/>
                <w:sz w:val="16"/>
                <w:szCs w:val="16"/>
                <w:lang w:val="en-GB"/>
              </w:rPr>
            </w:pPr>
            <w:r w:rsidRPr="0015768B">
              <w:rPr>
                <w:rFonts w:cs="Segoe UI"/>
                <w:color w:val="000000"/>
                <w:sz w:val="16"/>
                <w:szCs w:val="16"/>
                <w:lang w:val="en-GB"/>
              </w:rPr>
              <w:t>*Study/</w:t>
            </w:r>
            <w:proofErr w:type="spellStart"/>
            <w:r w:rsidRPr="0015768B">
              <w:rPr>
                <w:rFonts w:cs="Segoe UI"/>
                <w:color w:val="000000"/>
                <w:sz w:val="16"/>
                <w:szCs w:val="16"/>
                <w:lang w:val="en-GB"/>
              </w:rPr>
              <w:t>Center</w:t>
            </w:r>
            <w:proofErr w:type="spellEnd"/>
            <w:r w:rsidRPr="0015768B">
              <w:rPr>
                <w:rFonts w:cs="Segoe UI"/>
                <w:color w:val="000000"/>
                <w:sz w:val="16"/>
                <w:szCs w:val="16"/>
                <w:lang w:val="en-GB"/>
              </w:rPr>
              <w:t>/subject</w:t>
            </w:r>
          </w:p>
          <w:p w14:paraId="279003CF" w14:textId="77777777" w:rsidR="00512BEE" w:rsidRPr="0015768B" w:rsidRDefault="00512BEE" w:rsidP="00512BEE">
            <w:pPr>
              <w:autoSpaceDE w:val="0"/>
              <w:autoSpaceDN w:val="0"/>
              <w:adjustRightInd w:val="0"/>
              <w:rPr>
                <w:lang w:val="en-GB"/>
              </w:rPr>
            </w:pPr>
            <w:r w:rsidRPr="0015768B">
              <w:rPr>
                <w:rFonts w:cs="Segoe UI"/>
                <w:color w:val="000000"/>
                <w:sz w:val="16"/>
                <w:szCs w:val="16"/>
                <w:lang w:val="en-GB"/>
              </w:rPr>
              <w:t>**Primary SAR only</w:t>
            </w:r>
          </w:p>
          <w:p w14:paraId="5AEED8E4" w14:textId="77777777" w:rsidR="00512BEE" w:rsidRPr="0015768B" w:rsidRDefault="00512BEE" w:rsidP="00512BEE">
            <w:pPr>
              <w:autoSpaceDE w:val="0"/>
              <w:autoSpaceDN w:val="0"/>
              <w:adjustRightInd w:val="0"/>
              <w:rPr>
                <w:rFonts w:ascii="Verdana" w:hAnsi="Verdana" w:cs="Verdana"/>
                <w:color w:val="000000"/>
                <w:sz w:val="18"/>
                <w:szCs w:val="18"/>
                <w:lang w:val="en-GB"/>
              </w:rPr>
            </w:pPr>
          </w:p>
        </w:tc>
      </w:tr>
    </w:tbl>
    <w:p w14:paraId="59903542" w14:textId="77777777" w:rsidR="005F1103" w:rsidRPr="0015768B" w:rsidRDefault="00E64FFE" w:rsidP="003F4EF9">
      <w:pPr>
        <w:pStyle w:val="Otsikko2"/>
        <w:rPr>
          <w:lang w:val="en-GB"/>
        </w:rPr>
      </w:pPr>
      <w:bookmarkStart w:id="38" w:name="_Toc129683705"/>
      <w:r w:rsidRPr="0015768B">
        <w:rPr>
          <w:lang w:val="en-GB"/>
        </w:rPr>
        <w:t>7.3. Cumulative summary tabulations of serious adverse events</w:t>
      </w:r>
      <w:bookmarkEnd w:id="38"/>
      <w:r w:rsidRPr="0015768B">
        <w:rPr>
          <w:lang w:val="en-GB"/>
        </w:rPr>
        <w:t xml:space="preserve"> </w:t>
      </w:r>
    </w:p>
    <w:p w14:paraId="0C57FAEC" w14:textId="6A27A420" w:rsidR="00C712BD" w:rsidRPr="0026547E" w:rsidRDefault="009D1F16" w:rsidP="00C712BD">
      <w:pPr>
        <w:rPr>
          <w:i/>
          <w:color w:val="D99594" w:themeColor="accent2" w:themeTint="99"/>
          <w:lang w:val="en-GB"/>
        </w:rPr>
      </w:pPr>
      <w:r w:rsidRPr="0026547E">
        <w:rPr>
          <w:i/>
          <w:color w:val="D99594" w:themeColor="accent2" w:themeTint="99"/>
          <w:lang w:val="en-GB"/>
        </w:rPr>
        <w:t>&lt;</w:t>
      </w:r>
      <w:r w:rsidR="00C712BD" w:rsidRPr="0026547E">
        <w:rPr>
          <w:i/>
          <w:color w:val="D99594" w:themeColor="accent2" w:themeTint="99"/>
          <w:lang w:val="en-GB"/>
        </w:rPr>
        <w:t xml:space="preserve">This section should provide a cumulative summary tabulation of SAEs reported in the sponsor’s clinical trial, from the </w:t>
      </w:r>
      <w:r w:rsidR="00380DE8" w:rsidRPr="0026547E">
        <w:rPr>
          <w:i/>
          <w:color w:val="D99594" w:themeColor="accent2" w:themeTint="99"/>
          <w:lang w:val="en-GB"/>
        </w:rPr>
        <w:t>trial authorization</w:t>
      </w:r>
      <w:r w:rsidR="00C712BD" w:rsidRPr="0026547E">
        <w:rPr>
          <w:i/>
          <w:color w:val="D99594" w:themeColor="accent2" w:themeTint="99"/>
          <w:lang w:val="en-GB"/>
        </w:rPr>
        <w:t xml:space="preserve"> to the data lock point of the current </w:t>
      </w:r>
      <w:r w:rsidR="00B5342E" w:rsidRPr="0026547E">
        <w:rPr>
          <w:i/>
          <w:color w:val="D99594" w:themeColor="accent2" w:themeTint="99"/>
          <w:lang w:val="en-GB"/>
        </w:rPr>
        <w:t>ASR</w:t>
      </w:r>
      <w:r w:rsidR="00C712BD" w:rsidRPr="0026547E">
        <w:rPr>
          <w:i/>
          <w:color w:val="D99594" w:themeColor="accent2" w:themeTint="99"/>
          <w:lang w:val="en-GB"/>
        </w:rPr>
        <w:t>.</w:t>
      </w:r>
      <w:r w:rsidR="00450A32" w:rsidRPr="0026547E">
        <w:rPr>
          <w:i/>
          <w:color w:val="D99594" w:themeColor="accent2" w:themeTint="99"/>
          <w:lang w:val="en-GB"/>
        </w:rPr>
        <w:t xml:space="preserve"> All serious </w:t>
      </w:r>
      <w:r w:rsidR="00450A32" w:rsidRPr="0026547E">
        <w:rPr>
          <w:i/>
          <w:color w:val="D99594" w:themeColor="accent2" w:themeTint="99"/>
          <w:lang w:val="en-GB"/>
        </w:rPr>
        <w:lastRenderedPageBreak/>
        <w:t>adverse events, regardless of whether they are deemed to be causally related or not, must be included in this table.</w:t>
      </w:r>
      <w:r w:rsidR="00C712BD" w:rsidRPr="0026547E">
        <w:rPr>
          <w:i/>
          <w:color w:val="D99594" w:themeColor="accent2" w:themeTint="99"/>
          <w:lang w:val="en-GB"/>
        </w:rPr>
        <w:t xml:space="preserve">&gt; </w:t>
      </w:r>
    </w:p>
    <w:p w14:paraId="2641F053" w14:textId="77777777" w:rsidR="0058230B" w:rsidRPr="0015768B" w:rsidRDefault="0058230B" w:rsidP="00C712BD">
      <w:pPr>
        <w:rPr>
          <w:lang w:val="en-GB"/>
        </w:rPr>
      </w:pPr>
      <w:r w:rsidRPr="0015768B">
        <w:rPr>
          <w:lang w:val="en-GB"/>
        </w:rPr>
        <w:t xml:space="preserve">The table below </w:t>
      </w:r>
      <w:r w:rsidR="008A241D" w:rsidRPr="0015768B">
        <w:rPr>
          <w:lang w:val="en-GB"/>
        </w:rPr>
        <w:t>presents the</w:t>
      </w:r>
      <w:r w:rsidRPr="0015768B">
        <w:rPr>
          <w:lang w:val="en-GB"/>
        </w:rPr>
        <w:t xml:space="preserve"> number of SAEs that have been reported during this clinical trial organized by system organ class. </w:t>
      </w:r>
    </w:p>
    <w:tbl>
      <w:tblPr>
        <w:tblStyle w:val="TaulukkoRuudukko"/>
        <w:tblW w:w="0" w:type="auto"/>
        <w:tblLook w:val="04A0" w:firstRow="1" w:lastRow="0" w:firstColumn="1" w:lastColumn="0" w:noHBand="0" w:noVBand="1"/>
      </w:tblPr>
      <w:tblGrid>
        <w:gridCol w:w="2121"/>
        <w:gridCol w:w="1758"/>
        <w:gridCol w:w="21"/>
        <w:gridCol w:w="1792"/>
        <w:gridCol w:w="1642"/>
        <w:gridCol w:w="2016"/>
      </w:tblGrid>
      <w:tr w:rsidR="001F54E5" w:rsidRPr="0015768B" w14:paraId="1DA5AF24" w14:textId="77777777" w:rsidTr="00D626F3">
        <w:trPr>
          <w:gridAfter w:val="3"/>
          <w:wAfter w:w="5450" w:type="dxa"/>
        </w:trPr>
        <w:tc>
          <w:tcPr>
            <w:tcW w:w="2121" w:type="dxa"/>
          </w:tcPr>
          <w:p w14:paraId="4AAD69A8" w14:textId="77777777" w:rsidR="001F54E5" w:rsidRPr="0015768B" w:rsidRDefault="001F54E5" w:rsidP="00C712BD">
            <w:pPr>
              <w:rPr>
                <w:b/>
                <w:sz w:val="16"/>
                <w:szCs w:val="16"/>
                <w:lang w:val="en-GB"/>
              </w:rPr>
            </w:pPr>
            <w:r w:rsidRPr="0015768B">
              <w:rPr>
                <w:b/>
                <w:sz w:val="16"/>
                <w:szCs w:val="16"/>
                <w:lang w:val="en-GB"/>
              </w:rPr>
              <w:t>System organ Class</w:t>
            </w:r>
          </w:p>
        </w:tc>
        <w:tc>
          <w:tcPr>
            <w:tcW w:w="1779" w:type="dxa"/>
            <w:gridSpan w:val="2"/>
          </w:tcPr>
          <w:p w14:paraId="79BB3323" w14:textId="77777777" w:rsidR="001F54E5" w:rsidRPr="0015768B" w:rsidRDefault="001F54E5" w:rsidP="00C712BD">
            <w:pPr>
              <w:rPr>
                <w:b/>
                <w:sz w:val="16"/>
                <w:szCs w:val="16"/>
                <w:lang w:val="en-GB"/>
              </w:rPr>
            </w:pPr>
          </w:p>
        </w:tc>
      </w:tr>
      <w:tr w:rsidR="001F54E5" w:rsidRPr="0015768B" w14:paraId="7F44008C" w14:textId="77777777" w:rsidTr="00D626F3">
        <w:tc>
          <w:tcPr>
            <w:tcW w:w="2121" w:type="dxa"/>
          </w:tcPr>
          <w:p w14:paraId="783CC16E" w14:textId="77777777" w:rsidR="001F54E5" w:rsidRPr="0015768B" w:rsidRDefault="001F54E5" w:rsidP="00C712BD">
            <w:pPr>
              <w:rPr>
                <w:sz w:val="16"/>
                <w:szCs w:val="16"/>
                <w:lang w:val="en-GB"/>
              </w:rPr>
            </w:pPr>
            <w:r w:rsidRPr="0015768B">
              <w:rPr>
                <w:sz w:val="16"/>
                <w:szCs w:val="16"/>
                <w:lang w:val="en-GB"/>
              </w:rPr>
              <w:t>Preferred term</w:t>
            </w:r>
          </w:p>
        </w:tc>
        <w:tc>
          <w:tcPr>
            <w:tcW w:w="1758" w:type="dxa"/>
          </w:tcPr>
          <w:p w14:paraId="4DD5927E" w14:textId="77777777" w:rsidR="001F54E5" w:rsidRPr="0015768B" w:rsidRDefault="001F54E5" w:rsidP="005B4293">
            <w:pPr>
              <w:jc w:val="center"/>
              <w:rPr>
                <w:sz w:val="16"/>
                <w:szCs w:val="16"/>
                <w:lang w:val="en-GB"/>
              </w:rPr>
            </w:pPr>
            <w:commentRangeStart w:id="39"/>
            <w:r w:rsidRPr="0015768B">
              <w:rPr>
                <w:sz w:val="16"/>
                <w:szCs w:val="16"/>
                <w:lang w:val="en-GB"/>
              </w:rPr>
              <w:t>Study drug</w:t>
            </w:r>
          </w:p>
        </w:tc>
        <w:tc>
          <w:tcPr>
            <w:tcW w:w="1813" w:type="dxa"/>
            <w:gridSpan w:val="2"/>
          </w:tcPr>
          <w:p w14:paraId="1561DD98" w14:textId="77777777" w:rsidR="001F54E5" w:rsidRPr="0015768B" w:rsidRDefault="001F54E5" w:rsidP="005B4293">
            <w:pPr>
              <w:jc w:val="center"/>
              <w:rPr>
                <w:sz w:val="16"/>
                <w:szCs w:val="16"/>
                <w:lang w:val="en-GB"/>
              </w:rPr>
            </w:pPr>
            <w:r w:rsidRPr="0015768B">
              <w:rPr>
                <w:sz w:val="16"/>
                <w:szCs w:val="16"/>
                <w:lang w:val="en-GB"/>
              </w:rPr>
              <w:t>Placebo</w:t>
            </w:r>
          </w:p>
        </w:tc>
        <w:tc>
          <w:tcPr>
            <w:tcW w:w="1642" w:type="dxa"/>
          </w:tcPr>
          <w:p w14:paraId="667EC052" w14:textId="77777777" w:rsidR="001F54E5" w:rsidRPr="0015768B" w:rsidRDefault="001F54E5" w:rsidP="005B4293">
            <w:pPr>
              <w:jc w:val="center"/>
              <w:rPr>
                <w:sz w:val="16"/>
                <w:szCs w:val="16"/>
                <w:lang w:val="en-GB"/>
              </w:rPr>
            </w:pPr>
            <w:r w:rsidRPr="0015768B">
              <w:rPr>
                <w:sz w:val="16"/>
                <w:szCs w:val="16"/>
                <w:lang w:val="en-GB"/>
              </w:rPr>
              <w:t>Active comparator</w:t>
            </w:r>
          </w:p>
        </w:tc>
        <w:tc>
          <w:tcPr>
            <w:tcW w:w="2016" w:type="dxa"/>
          </w:tcPr>
          <w:p w14:paraId="27A4FB28" w14:textId="77777777" w:rsidR="001F54E5" w:rsidRPr="0015768B" w:rsidRDefault="001F54E5" w:rsidP="005B4293">
            <w:pPr>
              <w:jc w:val="center"/>
              <w:rPr>
                <w:sz w:val="16"/>
                <w:szCs w:val="16"/>
                <w:lang w:val="en-GB"/>
              </w:rPr>
            </w:pPr>
            <w:r w:rsidRPr="0015768B">
              <w:rPr>
                <w:sz w:val="16"/>
                <w:szCs w:val="16"/>
                <w:lang w:val="en-GB"/>
              </w:rPr>
              <w:t>Code unbroken</w:t>
            </w:r>
            <w:commentRangeEnd w:id="39"/>
            <w:r w:rsidR="004517FC" w:rsidRPr="0015768B">
              <w:rPr>
                <w:rStyle w:val="Kommentinviite"/>
                <w:lang w:val="en-GB"/>
              </w:rPr>
              <w:commentReference w:id="39"/>
            </w:r>
          </w:p>
        </w:tc>
      </w:tr>
      <w:tr w:rsidR="001F54E5" w:rsidRPr="0015768B" w14:paraId="56239C65" w14:textId="77777777" w:rsidTr="00D626F3">
        <w:tc>
          <w:tcPr>
            <w:tcW w:w="2121" w:type="dxa"/>
          </w:tcPr>
          <w:p w14:paraId="6ED604F3" w14:textId="77777777" w:rsidR="001F54E5" w:rsidRPr="0015768B" w:rsidRDefault="001F54E5" w:rsidP="00C712BD">
            <w:pPr>
              <w:rPr>
                <w:sz w:val="16"/>
                <w:szCs w:val="16"/>
                <w:u w:val="single"/>
                <w:lang w:val="en-GB"/>
              </w:rPr>
            </w:pPr>
            <w:commentRangeStart w:id="40"/>
            <w:r w:rsidRPr="0015768B">
              <w:rPr>
                <w:sz w:val="16"/>
                <w:szCs w:val="16"/>
                <w:u w:val="single"/>
                <w:lang w:val="en-GB"/>
              </w:rPr>
              <w:t>Cardiac disorders</w:t>
            </w:r>
          </w:p>
          <w:p w14:paraId="2388D57E" w14:textId="77777777" w:rsidR="001F54E5" w:rsidRPr="0015768B" w:rsidRDefault="001F54E5" w:rsidP="005B4293">
            <w:pPr>
              <w:pStyle w:val="Luettelokappale"/>
              <w:numPr>
                <w:ilvl w:val="0"/>
                <w:numId w:val="1"/>
              </w:numPr>
              <w:rPr>
                <w:sz w:val="16"/>
                <w:szCs w:val="16"/>
                <w:u w:val="single"/>
                <w:lang w:val="en-GB"/>
              </w:rPr>
            </w:pPr>
            <w:r w:rsidRPr="0015768B">
              <w:rPr>
                <w:sz w:val="16"/>
                <w:szCs w:val="16"/>
                <w:lang w:val="en-GB"/>
              </w:rPr>
              <w:t>Atrial fibrillation</w:t>
            </w:r>
          </w:p>
          <w:p w14:paraId="5372F5F3" w14:textId="77777777" w:rsidR="001F54E5" w:rsidRPr="0015768B" w:rsidRDefault="001F54E5" w:rsidP="005B4293">
            <w:pPr>
              <w:pStyle w:val="Luettelokappale"/>
              <w:numPr>
                <w:ilvl w:val="0"/>
                <w:numId w:val="1"/>
              </w:numPr>
              <w:rPr>
                <w:lang w:val="en-GB"/>
              </w:rPr>
            </w:pPr>
            <w:r w:rsidRPr="0015768B">
              <w:rPr>
                <w:sz w:val="16"/>
                <w:szCs w:val="16"/>
                <w:lang w:val="en-GB"/>
              </w:rPr>
              <w:t>Atrial flutter</w:t>
            </w:r>
          </w:p>
        </w:tc>
        <w:tc>
          <w:tcPr>
            <w:tcW w:w="1758" w:type="dxa"/>
          </w:tcPr>
          <w:p w14:paraId="7C524770" w14:textId="77777777" w:rsidR="001F54E5" w:rsidRPr="0015768B" w:rsidRDefault="001F54E5" w:rsidP="005B4293">
            <w:pPr>
              <w:jc w:val="center"/>
              <w:rPr>
                <w:sz w:val="16"/>
                <w:szCs w:val="16"/>
                <w:lang w:val="en-GB"/>
              </w:rPr>
            </w:pPr>
            <w:r w:rsidRPr="0015768B">
              <w:rPr>
                <w:sz w:val="16"/>
                <w:szCs w:val="16"/>
                <w:lang w:val="en-GB"/>
              </w:rPr>
              <w:t>3</w:t>
            </w:r>
          </w:p>
          <w:p w14:paraId="7B8B7D8F" w14:textId="77777777" w:rsidR="001F54E5" w:rsidRPr="0015768B" w:rsidRDefault="001F54E5" w:rsidP="005B4293">
            <w:pPr>
              <w:jc w:val="center"/>
              <w:rPr>
                <w:sz w:val="16"/>
                <w:szCs w:val="16"/>
                <w:lang w:val="en-GB"/>
              </w:rPr>
            </w:pPr>
            <w:r w:rsidRPr="0015768B">
              <w:rPr>
                <w:sz w:val="16"/>
                <w:szCs w:val="16"/>
                <w:lang w:val="en-GB"/>
              </w:rPr>
              <w:t>2</w:t>
            </w:r>
          </w:p>
          <w:p w14:paraId="315CCA1D" w14:textId="77777777" w:rsidR="001F54E5" w:rsidRPr="0015768B" w:rsidRDefault="001F54E5" w:rsidP="005B4293">
            <w:pPr>
              <w:jc w:val="center"/>
              <w:rPr>
                <w:sz w:val="16"/>
                <w:szCs w:val="16"/>
                <w:lang w:val="en-GB"/>
              </w:rPr>
            </w:pPr>
            <w:r w:rsidRPr="0015768B">
              <w:rPr>
                <w:sz w:val="16"/>
                <w:szCs w:val="16"/>
                <w:lang w:val="en-GB"/>
              </w:rPr>
              <w:t>1</w:t>
            </w:r>
          </w:p>
        </w:tc>
        <w:tc>
          <w:tcPr>
            <w:tcW w:w="1813" w:type="dxa"/>
            <w:gridSpan w:val="2"/>
          </w:tcPr>
          <w:p w14:paraId="4FC29B6B" w14:textId="77777777" w:rsidR="001F54E5" w:rsidRPr="0015768B" w:rsidRDefault="001F54E5" w:rsidP="005B4293">
            <w:pPr>
              <w:jc w:val="center"/>
              <w:rPr>
                <w:sz w:val="16"/>
                <w:szCs w:val="16"/>
                <w:lang w:val="en-GB"/>
              </w:rPr>
            </w:pPr>
            <w:r w:rsidRPr="0015768B">
              <w:rPr>
                <w:sz w:val="16"/>
                <w:szCs w:val="16"/>
                <w:lang w:val="en-GB"/>
              </w:rPr>
              <w:t>1</w:t>
            </w:r>
          </w:p>
          <w:p w14:paraId="77D12C63" w14:textId="77777777" w:rsidR="001F54E5" w:rsidRPr="0015768B" w:rsidRDefault="001F54E5" w:rsidP="005B4293">
            <w:pPr>
              <w:jc w:val="center"/>
              <w:rPr>
                <w:sz w:val="16"/>
                <w:szCs w:val="16"/>
                <w:lang w:val="en-GB"/>
              </w:rPr>
            </w:pPr>
            <w:r w:rsidRPr="0015768B">
              <w:rPr>
                <w:sz w:val="16"/>
                <w:szCs w:val="16"/>
                <w:lang w:val="en-GB"/>
              </w:rPr>
              <w:t>0</w:t>
            </w:r>
          </w:p>
          <w:p w14:paraId="2EA0CDF9" w14:textId="77777777" w:rsidR="001F54E5" w:rsidRPr="0015768B" w:rsidRDefault="001F54E5" w:rsidP="005B4293">
            <w:pPr>
              <w:jc w:val="center"/>
              <w:rPr>
                <w:sz w:val="16"/>
                <w:szCs w:val="16"/>
                <w:lang w:val="en-GB"/>
              </w:rPr>
            </w:pPr>
            <w:r w:rsidRPr="0015768B">
              <w:rPr>
                <w:sz w:val="16"/>
                <w:szCs w:val="16"/>
                <w:lang w:val="en-GB"/>
              </w:rPr>
              <w:t>1</w:t>
            </w:r>
          </w:p>
        </w:tc>
        <w:tc>
          <w:tcPr>
            <w:tcW w:w="1642" w:type="dxa"/>
          </w:tcPr>
          <w:p w14:paraId="6A0A949C" w14:textId="77777777" w:rsidR="001F54E5" w:rsidRPr="0015768B" w:rsidRDefault="001F54E5" w:rsidP="005B4293">
            <w:pPr>
              <w:jc w:val="center"/>
              <w:rPr>
                <w:sz w:val="16"/>
                <w:szCs w:val="16"/>
                <w:lang w:val="en-GB"/>
              </w:rPr>
            </w:pPr>
            <w:r w:rsidRPr="0015768B">
              <w:rPr>
                <w:sz w:val="16"/>
                <w:szCs w:val="16"/>
                <w:lang w:val="en-GB"/>
              </w:rPr>
              <w:t>2</w:t>
            </w:r>
          </w:p>
          <w:p w14:paraId="32F405A1" w14:textId="77777777" w:rsidR="001F54E5" w:rsidRPr="0015768B" w:rsidRDefault="001F54E5" w:rsidP="005B4293">
            <w:pPr>
              <w:jc w:val="center"/>
              <w:rPr>
                <w:sz w:val="16"/>
                <w:szCs w:val="16"/>
                <w:lang w:val="en-GB"/>
              </w:rPr>
            </w:pPr>
            <w:r w:rsidRPr="0015768B">
              <w:rPr>
                <w:sz w:val="16"/>
                <w:szCs w:val="16"/>
                <w:lang w:val="en-GB"/>
              </w:rPr>
              <w:t>2</w:t>
            </w:r>
          </w:p>
          <w:p w14:paraId="5688CCFA" w14:textId="77777777" w:rsidR="001F54E5" w:rsidRPr="0015768B" w:rsidRDefault="001F54E5" w:rsidP="005B4293">
            <w:pPr>
              <w:jc w:val="center"/>
              <w:rPr>
                <w:sz w:val="16"/>
                <w:szCs w:val="16"/>
                <w:lang w:val="en-GB"/>
              </w:rPr>
            </w:pPr>
            <w:r w:rsidRPr="0015768B">
              <w:rPr>
                <w:sz w:val="16"/>
                <w:szCs w:val="16"/>
                <w:lang w:val="en-GB"/>
              </w:rPr>
              <w:t>0</w:t>
            </w:r>
          </w:p>
        </w:tc>
        <w:tc>
          <w:tcPr>
            <w:tcW w:w="2016" w:type="dxa"/>
          </w:tcPr>
          <w:p w14:paraId="592C6457" w14:textId="77777777" w:rsidR="001F54E5" w:rsidRPr="0015768B" w:rsidRDefault="001F54E5" w:rsidP="005B4293">
            <w:pPr>
              <w:jc w:val="center"/>
              <w:rPr>
                <w:sz w:val="16"/>
                <w:szCs w:val="16"/>
                <w:lang w:val="en-GB"/>
              </w:rPr>
            </w:pPr>
            <w:r w:rsidRPr="0015768B">
              <w:rPr>
                <w:sz w:val="16"/>
                <w:szCs w:val="16"/>
                <w:lang w:val="en-GB"/>
              </w:rPr>
              <w:t>0</w:t>
            </w:r>
          </w:p>
          <w:p w14:paraId="17124F6D" w14:textId="77777777" w:rsidR="001F54E5" w:rsidRPr="0015768B" w:rsidRDefault="001F54E5" w:rsidP="005B4293">
            <w:pPr>
              <w:jc w:val="center"/>
              <w:rPr>
                <w:sz w:val="16"/>
                <w:szCs w:val="16"/>
                <w:lang w:val="en-GB"/>
              </w:rPr>
            </w:pPr>
            <w:r w:rsidRPr="0015768B">
              <w:rPr>
                <w:sz w:val="16"/>
                <w:szCs w:val="16"/>
                <w:lang w:val="en-GB"/>
              </w:rPr>
              <w:t>0</w:t>
            </w:r>
          </w:p>
          <w:p w14:paraId="347DB8B4" w14:textId="77777777" w:rsidR="001F54E5" w:rsidRPr="0015768B" w:rsidRDefault="001F54E5" w:rsidP="005B4293">
            <w:pPr>
              <w:jc w:val="center"/>
              <w:rPr>
                <w:sz w:val="16"/>
                <w:szCs w:val="16"/>
                <w:lang w:val="en-GB"/>
              </w:rPr>
            </w:pPr>
            <w:r w:rsidRPr="0015768B">
              <w:rPr>
                <w:sz w:val="16"/>
                <w:szCs w:val="16"/>
                <w:lang w:val="en-GB"/>
              </w:rPr>
              <w:t>0</w:t>
            </w:r>
            <w:commentRangeEnd w:id="40"/>
            <w:r w:rsidR="004517FC" w:rsidRPr="0015768B">
              <w:rPr>
                <w:rStyle w:val="Kommentinviite"/>
                <w:lang w:val="en-GB"/>
              </w:rPr>
              <w:commentReference w:id="40"/>
            </w:r>
          </w:p>
        </w:tc>
      </w:tr>
      <w:tr w:rsidR="001F54E5" w:rsidRPr="0015768B" w14:paraId="3495E635" w14:textId="77777777" w:rsidTr="00D626F3">
        <w:tc>
          <w:tcPr>
            <w:tcW w:w="2121" w:type="dxa"/>
          </w:tcPr>
          <w:p w14:paraId="2F33A1B7" w14:textId="77777777" w:rsidR="001F54E5" w:rsidRPr="0015768B" w:rsidRDefault="001F54E5" w:rsidP="00C712BD">
            <w:pPr>
              <w:rPr>
                <w:lang w:val="en-GB"/>
              </w:rPr>
            </w:pPr>
          </w:p>
        </w:tc>
        <w:tc>
          <w:tcPr>
            <w:tcW w:w="1758" w:type="dxa"/>
          </w:tcPr>
          <w:p w14:paraId="6ACFA6D8" w14:textId="77777777" w:rsidR="001F54E5" w:rsidRPr="0015768B" w:rsidRDefault="001F54E5" w:rsidP="005B4293">
            <w:pPr>
              <w:jc w:val="center"/>
              <w:rPr>
                <w:sz w:val="16"/>
                <w:szCs w:val="16"/>
                <w:lang w:val="en-GB"/>
              </w:rPr>
            </w:pPr>
          </w:p>
        </w:tc>
        <w:tc>
          <w:tcPr>
            <w:tcW w:w="1813" w:type="dxa"/>
            <w:gridSpan w:val="2"/>
          </w:tcPr>
          <w:p w14:paraId="3B40A39B" w14:textId="77777777" w:rsidR="001F54E5" w:rsidRPr="0015768B" w:rsidRDefault="001F54E5" w:rsidP="005B4293">
            <w:pPr>
              <w:jc w:val="center"/>
              <w:rPr>
                <w:sz w:val="16"/>
                <w:szCs w:val="16"/>
                <w:lang w:val="en-GB"/>
              </w:rPr>
            </w:pPr>
          </w:p>
        </w:tc>
        <w:tc>
          <w:tcPr>
            <w:tcW w:w="1642" w:type="dxa"/>
          </w:tcPr>
          <w:p w14:paraId="39D143F5" w14:textId="77777777" w:rsidR="001F54E5" w:rsidRPr="0015768B" w:rsidRDefault="001F54E5" w:rsidP="005B4293">
            <w:pPr>
              <w:jc w:val="center"/>
              <w:rPr>
                <w:sz w:val="16"/>
                <w:szCs w:val="16"/>
                <w:lang w:val="en-GB"/>
              </w:rPr>
            </w:pPr>
          </w:p>
        </w:tc>
        <w:tc>
          <w:tcPr>
            <w:tcW w:w="2016" w:type="dxa"/>
          </w:tcPr>
          <w:p w14:paraId="2C28CEE5" w14:textId="77777777" w:rsidR="001F54E5" w:rsidRPr="0015768B" w:rsidRDefault="001F54E5" w:rsidP="005B4293">
            <w:pPr>
              <w:jc w:val="center"/>
              <w:rPr>
                <w:sz w:val="16"/>
                <w:szCs w:val="16"/>
                <w:lang w:val="en-GB"/>
              </w:rPr>
            </w:pPr>
          </w:p>
        </w:tc>
      </w:tr>
      <w:tr w:rsidR="001F54E5" w:rsidRPr="0015768B" w14:paraId="7CBF3AEE" w14:textId="77777777" w:rsidTr="00D626F3">
        <w:tc>
          <w:tcPr>
            <w:tcW w:w="2121" w:type="dxa"/>
          </w:tcPr>
          <w:p w14:paraId="75AD4FE0" w14:textId="77777777" w:rsidR="001F54E5" w:rsidRPr="0015768B" w:rsidRDefault="001F54E5" w:rsidP="00C712BD">
            <w:pPr>
              <w:rPr>
                <w:lang w:val="en-GB"/>
              </w:rPr>
            </w:pPr>
          </w:p>
        </w:tc>
        <w:tc>
          <w:tcPr>
            <w:tcW w:w="1758" w:type="dxa"/>
          </w:tcPr>
          <w:p w14:paraId="14DE2F4D" w14:textId="77777777" w:rsidR="001F54E5" w:rsidRPr="0015768B" w:rsidRDefault="001F54E5" w:rsidP="005B4293">
            <w:pPr>
              <w:jc w:val="center"/>
              <w:rPr>
                <w:sz w:val="16"/>
                <w:szCs w:val="16"/>
                <w:lang w:val="en-GB"/>
              </w:rPr>
            </w:pPr>
          </w:p>
        </w:tc>
        <w:tc>
          <w:tcPr>
            <w:tcW w:w="1813" w:type="dxa"/>
            <w:gridSpan w:val="2"/>
          </w:tcPr>
          <w:p w14:paraId="2AC9583E" w14:textId="77777777" w:rsidR="001F54E5" w:rsidRPr="0015768B" w:rsidRDefault="001F54E5" w:rsidP="005B4293">
            <w:pPr>
              <w:jc w:val="center"/>
              <w:rPr>
                <w:sz w:val="16"/>
                <w:szCs w:val="16"/>
                <w:lang w:val="en-GB"/>
              </w:rPr>
            </w:pPr>
          </w:p>
        </w:tc>
        <w:tc>
          <w:tcPr>
            <w:tcW w:w="1642" w:type="dxa"/>
          </w:tcPr>
          <w:p w14:paraId="094B1001" w14:textId="77777777" w:rsidR="001F54E5" w:rsidRPr="0015768B" w:rsidRDefault="001F54E5" w:rsidP="005B4293">
            <w:pPr>
              <w:jc w:val="center"/>
              <w:rPr>
                <w:sz w:val="16"/>
                <w:szCs w:val="16"/>
                <w:lang w:val="en-GB"/>
              </w:rPr>
            </w:pPr>
          </w:p>
        </w:tc>
        <w:tc>
          <w:tcPr>
            <w:tcW w:w="2016" w:type="dxa"/>
          </w:tcPr>
          <w:p w14:paraId="1FB1A2CC" w14:textId="77777777" w:rsidR="001F54E5" w:rsidRPr="0015768B" w:rsidRDefault="001F54E5" w:rsidP="005B4293">
            <w:pPr>
              <w:jc w:val="center"/>
              <w:rPr>
                <w:sz w:val="16"/>
                <w:szCs w:val="16"/>
                <w:lang w:val="en-GB"/>
              </w:rPr>
            </w:pPr>
          </w:p>
        </w:tc>
      </w:tr>
      <w:tr w:rsidR="001F54E5" w:rsidRPr="0015768B" w14:paraId="184BCDA5" w14:textId="77777777" w:rsidTr="00D626F3">
        <w:tc>
          <w:tcPr>
            <w:tcW w:w="2121" w:type="dxa"/>
          </w:tcPr>
          <w:p w14:paraId="4F44BFF6" w14:textId="77777777" w:rsidR="001F54E5" w:rsidRPr="0015768B" w:rsidRDefault="001F54E5" w:rsidP="00C712BD">
            <w:pPr>
              <w:rPr>
                <w:lang w:val="en-GB"/>
              </w:rPr>
            </w:pPr>
          </w:p>
        </w:tc>
        <w:tc>
          <w:tcPr>
            <w:tcW w:w="1758" w:type="dxa"/>
          </w:tcPr>
          <w:p w14:paraId="1B8511D1" w14:textId="77777777" w:rsidR="001F54E5" w:rsidRPr="0015768B" w:rsidRDefault="001F54E5" w:rsidP="005B4293">
            <w:pPr>
              <w:jc w:val="center"/>
              <w:rPr>
                <w:sz w:val="16"/>
                <w:szCs w:val="16"/>
                <w:lang w:val="en-GB"/>
              </w:rPr>
            </w:pPr>
          </w:p>
        </w:tc>
        <w:tc>
          <w:tcPr>
            <w:tcW w:w="1813" w:type="dxa"/>
            <w:gridSpan w:val="2"/>
          </w:tcPr>
          <w:p w14:paraId="5B094369" w14:textId="77777777" w:rsidR="001F54E5" w:rsidRPr="0015768B" w:rsidRDefault="001F54E5" w:rsidP="005B4293">
            <w:pPr>
              <w:jc w:val="center"/>
              <w:rPr>
                <w:sz w:val="16"/>
                <w:szCs w:val="16"/>
                <w:lang w:val="en-GB"/>
              </w:rPr>
            </w:pPr>
          </w:p>
        </w:tc>
        <w:tc>
          <w:tcPr>
            <w:tcW w:w="1642" w:type="dxa"/>
          </w:tcPr>
          <w:p w14:paraId="0D6BEDBC" w14:textId="77777777" w:rsidR="001F54E5" w:rsidRPr="0015768B" w:rsidRDefault="001F54E5" w:rsidP="005B4293">
            <w:pPr>
              <w:jc w:val="center"/>
              <w:rPr>
                <w:sz w:val="16"/>
                <w:szCs w:val="16"/>
                <w:lang w:val="en-GB"/>
              </w:rPr>
            </w:pPr>
          </w:p>
        </w:tc>
        <w:tc>
          <w:tcPr>
            <w:tcW w:w="2016" w:type="dxa"/>
          </w:tcPr>
          <w:p w14:paraId="008C0FEE" w14:textId="77777777" w:rsidR="001F54E5" w:rsidRPr="0015768B" w:rsidRDefault="001F54E5" w:rsidP="005B4293">
            <w:pPr>
              <w:jc w:val="center"/>
              <w:rPr>
                <w:sz w:val="16"/>
                <w:szCs w:val="16"/>
                <w:lang w:val="en-GB"/>
              </w:rPr>
            </w:pPr>
          </w:p>
        </w:tc>
      </w:tr>
      <w:tr w:rsidR="001F54E5" w:rsidRPr="0015768B" w14:paraId="4546C82D" w14:textId="77777777" w:rsidTr="00D626F3">
        <w:tc>
          <w:tcPr>
            <w:tcW w:w="2121" w:type="dxa"/>
          </w:tcPr>
          <w:p w14:paraId="2F1CDE8D" w14:textId="77777777" w:rsidR="001F54E5" w:rsidRPr="0015768B" w:rsidRDefault="001F54E5" w:rsidP="00C712BD">
            <w:pPr>
              <w:rPr>
                <w:lang w:val="en-GB"/>
              </w:rPr>
            </w:pPr>
          </w:p>
        </w:tc>
        <w:tc>
          <w:tcPr>
            <w:tcW w:w="1758" w:type="dxa"/>
          </w:tcPr>
          <w:p w14:paraId="0192A1A1" w14:textId="77777777" w:rsidR="001F54E5" w:rsidRPr="0015768B" w:rsidRDefault="001F54E5" w:rsidP="005B4293">
            <w:pPr>
              <w:jc w:val="center"/>
              <w:rPr>
                <w:sz w:val="16"/>
                <w:szCs w:val="16"/>
                <w:lang w:val="en-GB"/>
              </w:rPr>
            </w:pPr>
          </w:p>
        </w:tc>
        <w:tc>
          <w:tcPr>
            <w:tcW w:w="1813" w:type="dxa"/>
            <w:gridSpan w:val="2"/>
          </w:tcPr>
          <w:p w14:paraId="714F4383" w14:textId="77777777" w:rsidR="001F54E5" w:rsidRPr="0015768B" w:rsidRDefault="001F54E5" w:rsidP="005B4293">
            <w:pPr>
              <w:jc w:val="center"/>
              <w:rPr>
                <w:sz w:val="16"/>
                <w:szCs w:val="16"/>
                <w:lang w:val="en-GB"/>
              </w:rPr>
            </w:pPr>
          </w:p>
        </w:tc>
        <w:tc>
          <w:tcPr>
            <w:tcW w:w="1642" w:type="dxa"/>
          </w:tcPr>
          <w:p w14:paraId="08DDEC9F" w14:textId="77777777" w:rsidR="001F54E5" w:rsidRPr="0015768B" w:rsidRDefault="001F54E5" w:rsidP="005B4293">
            <w:pPr>
              <w:jc w:val="center"/>
              <w:rPr>
                <w:sz w:val="16"/>
                <w:szCs w:val="16"/>
                <w:lang w:val="en-GB"/>
              </w:rPr>
            </w:pPr>
          </w:p>
        </w:tc>
        <w:tc>
          <w:tcPr>
            <w:tcW w:w="2016" w:type="dxa"/>
          </w:tcPr>
          <w:p w14:paraId="44CB45EF" w14:textId="77777777" w:rsidR="001F54E5" w:rsidRPr="0015768B" w:rsidRDefault="001F54E5" w:rsidP="005B4293">
            <w:pPr>
              <w:jc w:val="center"/>
              <w:rPr>
                <w:sz w:val="16"/>
                <w:szCs w:val="16"/>
                <w:lang w:val="en-GB"/>
              </w:rPr>
            </w:pPr>
          </w:p>
        </w:tc>
      </w:tr>
      <w:tr w:rsidR="00E645C7" w:rsidRPr="0015768B" w14:paraId="2A10D5A5" w14:textId="77777777" w:rsidTr="00D626F3">
        <w:tc>
          <w:tcPr>
            <w:tcW w:w="2121" w:type="dxa"/>
          </w:tcPr>
          <w:p w14:paraId="477A44D5" w14:textId="5769125D" w:rsidR="00E645C7" w:rsidRPr="0015768B" w:rsidRDefault="00E645C7" w:rsidP="00E645C7">
            <w:pPr>
              <w:rPr>
                <w:lang w:val="en-GB"/>
              </w:rPr>
            </w:pPr>
            <w:commentRangeStart w:id="41"/>
            <w:r w:rsidRPr="003B3582">
              <w:rPr>
                <w:sz w:val="16"/>
                <w:szCs w:val="16"/>
                <w:lang w:val="en-GB"/>
              </w:rPr>
              <w:t>Total number</w:t>
            </w:r>
          </w:p>
        </w:tc>
        <w:tc>
          <w:tcPr>
            <w:tcW w:w="1758" w:type="dxa"/>
          </w:tcPr>
          <w:p w14:paraId="38AF7B18" w14:textId="74F25678" w:rsidR="00E645C7" w:rsidRPr="0015768B" w:rsidRDefault="00E645C7" w:rsidP="00E645C7">
            <w:pPr>
              <w:jc w:val="center"/>
              <w:rPr>
                <w:sz w:val="16"/>
                <w:szCs w:val="16"/>
                <w:lang w:val="en-GB"/>
              </w:rPr>
            </w:pPr>
            <w:r>
              <w:rPr>
                <w:sz w:val="16"/>
                <w:szCs w:val="16"/>
                <w:lang w:val="en-GB"/>
              </w:rPr>
              <w:t>3</w:t>
            </w:r>
          </w:p>
        </w:tc>
        <w:tc>
          <w:tcPr>
            <w:tcW w:w="1813" w:type="dxa"/>
            <w:gridSpan w:val="2"/>
          </w:tcPr>
          <w:p w14:paraId="3F1207C8" w14:textId="0FEC2DE3" w:rsidR="00E645C7" w:rsidRPr="0015768B" w:rsidRDefault="00E645C7" w:rsidP="00E645C7">
            <w:pPr>
              <w:jc w:val="center"/>
              <w:rPr>
                <w:sz w:val="16"/>
                <w:szCs w:val="16"/>
                <w:lang w:val="en-GB"/>
              </w:rPr>
            </w:pPr>
            <w:r>
              <w:rPr>
                <w:sz w:val="16"/>
                <w:szCs w:val="16"/>
                <w:lang w:val="en-GB"/>
              </w:rPr>
              <w:t>2</w:t>
            </w:r>
          </w:p>
        </w:tc>
        <w:tc>
          <w:tcPr>
            <w:tcW w:w="1642" w:type="dxa"/>
          </w:tcPr>
          <w:p w14:paraId="31C1691C" w14:textId="72A90D57" w:rsidR="00E645C7" w:rsidRPr="0015768B" w:rsidRDefault="00E645C7" w:rsidP="00E645C7">
            <w:pPr>
              <w:jc w:val="center"/>
              <w:rPr>
                <w:sz w:val="16"/>
                <w:szCs w:val="16"/>
                <w:lang w:val="en-GB"/>
              </w:rPr>
            </w:pPr>
            <w:r>
              <w:rPr>
                <w:sz w:val="16"/>
                <w:szCs w:val="16"/>
                <w:lang w:val="en-GB"/>
              </w:rPr>
              <w:t>2</w:t>
            </w:r>
          </w:p>
        </w:tc>
        <w:tc>
          <w:tcPr>
            <w:tcW w:w="2016" w:type="dxa"/>
          </w:tcPr>
          <w:p w14:paraId="63EA2EC3" w14:textId="5A71C56E" w:rsidR="00E645C7" w:rsidRPr="0015768B" w:rsidRDefault="00E645C7" w:rsidP="00E645C7">
            <w:pPr>
              <w:jc w:val="center"/>
              <w:rPr>
                <w:sz w:val="16"/>
                <w:szCs w:val="16"/>
                <w:lang w:val="en-GB"/>
              </w:rPr>
            </w:pPr>
            <w:r>
              <w:rPr>
                <w:sz w:val="16"/>
                <w:szCs w:val="16"/>
                <w:lang w:val="en-GB"/>
              </w:rPr>
              <w:t>0</w:t>
            </w:r>
            <w:commentRangeEnd w:id="41"/>
            <w:r w:rsidR="00EC5BFF">
              <w:rPr>
                <w:rStyle w:val="Kommentinviite"/>
              </w:rPr>
              <w:commentReference w:id="41"/>
            </w:r>
          </w:p>
        </w:tc>
      </w:tr>
    </w:tbl>
    <w:p w14:paraId="62E0D682" w14:textId="77777777" w:rsidR="0058230B" w:rsidRPr="0015768B" w:rsidRDefault="0058230B" w:rsidP="00C712BD">
      <w:pPr>
        <w:rPr>
          <w:lang w:val="en-GB"/>
        </w:rPr>
      </w:pPr>
    </w:p>
    <w:p w14:paraId="66922293" w14:textId="77777777" w:rsidR="005F1103" w:rsidRPr="0015768B" w:rsidRDefault="00E64FFE" w:rsidP="005F1103">
      <w:pPr>
        <w:pStyle w:val="Otsikko1"/>
        <w:rPr>
          <w:lang w:val="en-GB"/>
        </w:rPr>
      </w:pPr>
      <w:bookmarkStart w:id="42" w:name="_Toc129683706"/>
      <w:r w:rsidRPr="0015768B">
        <w:rPr>
          <w:lang w:val="en-GB"/>
        </w:rPr>
        <w:t xml:space="preserve">8. Significant findings from clinical trials during the reporting </w:t>
      </w:r>
      <w:r w:rsidR="00730A06" w:rsidRPr="0015768B">
        <w:rPr>
          <w:lang w:val="en-GB"/>
        </w:rPr>
        <w:t>period</w:t>
      </w:r>
      <w:bookmarkEnd w:id="42"/>
    </w:p>
    <w:p w14:paraId="0F454A15" w14:textId="77777777" w:rsidR="005F1103" w:rsidRPr="0015768B" w:rsidRDefault="00E64FFE" w:rsidP="003F4EF9">
      <w:pPr>
        <w:pStyle w:val="Otsikko2"/>
        <w:rPr>
          <w:lang w:val="en-GB"/>
        </w:rPr>
      </w:pPr>
      <w:bookmarkStart w:id="43" w:name="_Toc129683707"/>
      <w:r w:rsidRPr="0015768B">
        <w:rPr>
          <w:lang w:val="en-GB"/>
        </w:rPr>
        <w:t xml:space="preserve">8.1. Completed clinical </w:t>
      </w:r>
      <w:r w:rsidR="00594084" w:rsidRPr="0015768B">
        <w:rPr>
          <w:lang w:val="en-GB"/>
        </w:rPr>
        <w:t>trials</w:t>
      </w:r>
      <w:bookmarkEnd w:id="43"/>
    </w:p>
    <w:p w14:paraId="052D54D3" w14:textId="3702A8F1" w:rsidR="00D03911" w:rsidRPr="0026547E" w:rsidRDefault="00D03911" w:rsidP="006D4651">
      <w:pPr>
        <w:rPr>
          <w:i/>
          <w:iCs/>
          <w:lang w:val="en-GB"/>
        </w:rPr>
      </w:pPr>
      <w:r w:rsidRPr="0026547E">
        <w:rPr>
          <w:i/>
          <w:iCs/>
          <w:color w:val="D99594" w:themeColor="accent2" w:themeTint="99"/>
          <w:lang w:val="en-GB"/>
        </w:rPr>
        <w:t>&lt;</w:t>
      </w:r>
      <w:r w:rsidR="006D4651" w:rsidRPr="0026547E">
        <w:rPr>
          <w:i/>
          <w:iCs/>
          <w:color w:val="D99594" w:themeColor="accent2" w:themeTint="99"/>
          <w:lang w:val="en-GB"/>
        </w:rPr>
        <w:t>If applicable, provide a brief summary of clinically important emerging efficacy and safety findings obtained from clinical trials</w:t>
      </w:r>
      <w:r w:rsidR="00214B71">
        <w:rPr>
          <w:i/>
          <w:iCs/>
          <w:color w:val="D99594" w:themeColor="accent2" w:themeTint="99"/>
          <w:lang w:val="en-GB"/>
        </w:rPr>
        <w:t xml:space="preserve"> </w:t>
      </w:r>
      <w:r w:rsidR="006D4651" w:rsidRPr="0026547E">
        <w:rPr>
          <w:i/>
          <w:iCs/>
          <w:color w:val="D99594" w:themeColor="accent2" w:themeTint="99"/>
          <w:lang w:val="en-GB"/>
        </w:rPr>
        <w:t>during the reporting period</w:t>
      </w:r>
      <w:r w:rsidR="00FC5396" w:rsidRPr="0026547E">
        <w:rPr>
          <w:i/>
          <w:iCs/>
          <w:color w:val="D99594" w:themeColor="accent2" w:themeTint="99"/>
          <w:lang w:val="en-GB"/>
        </w:rPr>
        <w:t xml:space="preserve"> by the Sponsor responsible for the ASR</w:t>
      </w:r>
      <w:r w:rsidR="00945FA1">
        <w:rPr>
          <w:i/>
          <w:iCs/>
          <w:color w:val="D99594" w:themeColor="accent2" w:themeTint="99"/>
          <w:lang w:val="en-GB"/>
        </w:rPr>
        <w:t xml:space="preserve"> </w:t>
      </w:r>
      <w:r w:rsidR="00B718F2">
        <w:rPr>
          <w:i/>
          <w:iCs/>
          <w:color w:val="D99594" w:themeColor="accent2" w:themeTint="99"/>
        </w:rPr>
        <w:t>where</w:t>
      </w:r>
      <w:r w:rsidR="00945FA1" w:rsidRPr="00385E67">
        <w:rPr>
          <w:i/>
          <w:iCs/>
          <w:color w:val="D99594" w:themeColor="accent2" w:themeTint="99"/>
        </w:rPr>
        <w:t xml:space="preserve"> the same IMP(s) has/have been used</w:t>
      </w:r>
      <w:r w:rsidR="006D4651" w:rsidRPr="0026547E">
        <w:rPr>
          <w:i/>
          <w:iCs/>
          <w:color w:val="D99594" w:themeColor="accent2" w:themeTint="99"/>
          <w:lang w:val="en-GB"/>
        </w:rPr>
        <w:t>.</w:t>
      </w:r>
      <w:r w:rsidRPr="0026547E">
        <w:rPr>
          <w:i/>
          <w:iCs/>
          <w:color w:val="D99594" w:themeColor="accent2" w:themeTint="99"/>
          <w:lang w:val="en-GB"/>
        </w:rPr>
        <w:t>&gt;</w:t>
      </w:r>
    </w:p>
    <w:p w14:paraId="200A9EF8" w14:textId="1C65B351" w:rsidR="00D03911" w:rsidRPr="0026547E" w:rsidRDefault="00D03911" w:rsidP="00D03911">
      <w:pPr>
        <w:rPr>
          <w:i/>
          <w:iCs/>
          <w:color w:val="D99594" w:themeColor="accent2" w:themeTint="99"/>
          <w:lang w:val="en-GB"/>
        </w:rPr>
      </w:pPr>
      <w:r w:rsidRPr="0026547E">
        <w:rPr>
          <w:i/>
          <w:iCs/>
          <w:color w:val="D99594" w:themeColor="accent2" w:themeTint="99"/>
          <w:lang w:val="en-GB"/>
        </w:rPr>
        <w:t>&lt;OR&gt;</w:t>
      </w:r>
    </w:p>
    <w:p w14:paraId="7037B196" w14:textId="7BF9C0A4" w:rsidR="009D1F16" w:rsidRPr="0015768B" w:rsidRDefault="008A21BA" w:rsidP="009D1F16">
      <w:pPr>
        <w:rPr>
          <w:lang w:val="en-GB"/>
        </w:rPr>
      </w:pPr>
      <w:r w:rsidRPr="0015768B">
        <w:rPr>
          <w:lang w:val="en-GB"/>
        </w:rPr>
        <w:t>Not applicable.</w:t>
      </w:r>
    </w:p>
    <w:p w14:paraId="23A4BCE8" w14:textId="77777777" w:rsidR="005F1103" w:rsidRPr="0015768B" w:rsidRDefault="00E64FFE" w:rsidP="003F4EF9">
      <w:pPr>
        <w:pStyle w:val="Otsikko2"/>
        <w:rPr>
          <w:lang w:val="en-GB"/>
        </w:rPr>
      </w:pPr>
      <w:bookmarkStart w:id="44" w:name="_Toc129683708"/>
      <w:r w:rsidRPr="0015768B">
        <w:rPr>
          <w:lang w:val="en-GB"/>
        </w:rPr>
        <w:t>8.2. Ongoing clinical trials</w:t>
      </w:r>
      <w:bookmarkEnd w:id="44"/>
    </w:p>
    <w:p w14:paraId="01EFDC0A" w14:textId="50308DFE" w:rsidR="008B5262" w:rsidRPr="0026547E" w:rsidRDefault="00B61776" w:rsidP="008B5262">
      <w:pPr>
        <w:rPr>
          <w:i/>
          <w:iCs/>
          <w:lang w:val="en-GB"/>
        </w:rPr>
      </w:pPr>
      <w:r w:rsidRPr="0026547E">
        <w:rPr>
          <w:i/>
          <w:iCs/>
          <w:color w:val="D99594" w:themeColor="accent2" w:themeTint="99"/>
          <w:lang w:val="en-GB"/>
        </w:rPr>
        <w:t>&lt;</w:t>
      </w:r>
      <w:r w:rsidR="00225C72" w:rsidRPr="0026547E">
        <w:rPr>
          <w:i/>
          <w:iCs/>
          <w:color w:val="D99594" w:themeColor="accent2" w:themeTint="99"/>
          <w:lang w:val="en-GB"/>
        </w:rPr>
        <w:t xml:space="preserve">Add significant findings from </w:t>
      </w:r>
      <w:r w:rsidR="008A21BA" w:rsidRPr="0026547E">
        <w:rPr>
          <w:i/>
          <w:iCs/>
          <w:color w:val="D99594" w:themeColor="accent2" w:themeTint="99"/>
          <w:lang w:val="en-GB"/>
        </w:rPr>
        <w:t>the</w:t>
      </w:r>
      <w:r w:rsidR="00380DE8" w:rsidRPr="0026547E">
        <w:rPr>
          <w:i/>
          <w:iCs/>
          <w:color w:val="D99594" w:themeColor="accent2" w:themeTint="99"/>
          <w:lang w:val="en-GB"/>
        </w:rPr>
        <w:t xml:space="preserve"> </w:t>
      </w:r>
      <w:r w:rsidR="00225C72" w:rsidRPr="0026547E">
        <w:rPr>
          <w:i/>
          <w:iCs/>
          <w:color w:val="D99594" w:themeColor="accent2" w:themeTint="99"/>
          <w:lang w:val="en-GB"/>
        </w:rPr>
        <w:t>ongoing stud</w:t>
      </w:r>
      <w:r w:rsidR="008A21BA" w:rsidRPr="0026547E">
        <w:rPr>
          <w:i/>
          <w:iCs/>
          <w:color w:val="D99594" w:themeColor="accent2" w:themeTint="99"/>
          <w:lang w:val="en-GB"/>
        </w:rPr>
        <w:t>y</w:t>
      </w:r>
      <w:r w:rsidR="00A43065" w:rsidRPr="0026547E">
        <w:rPr>
          <w:i/>
          <w:iCs/>
          <w:color w:val="D99594" w:themeColor="accent2" w:themeTint="99"/>
          <w:lang w:val="en-GB"/>
        </w:rPr>
        <w:t>.</w:t>
      </w:r>
      <w:r w:rsidR="00225C72" w:rsidRPr="0026547E" w:rsidDel="00C04548">
        <w:rPr>
          <w:i/>
          <w:iCs/>
          <w:color w:val="D99594" w:themeColor="accent2" w:themeTint="99"/>
          <w:lang w:val="en-GB"/>
        </w:rPr>
        <w:t xml:space="preserve"> </w:t>
      </w:r>
      <w:r w:rsidR="00FF1510" w:rsidRPr="0026547E">
        <w:rPr>
          <w:i/>
          <w:iCs/>
          <w:color w:val="D99594" w:themeColor="accent2" w:themeTint="99"/>
          <w:lang w:val="en-GB"/>
        </w:rPr>
        <w:t xml:space="preserve">If </w:t>
      </w:r>
      <w:r w:rsidR="00225C72" w:rsidRPr="0026547E">
        <w:rPr>
          <w:i/>
          <w:iCs/>
          <w:color w:val="D99594" w:themeColor="accent2" w:themeTint="99"/>
          <w:lang w:val="en-GB"/>
        </w:rPr>
        <w:t>applicable,</w:t>
      </w:r>
      <w:r w:rsidR="00FF1510" w:rsidRPr="0026547E">
        <w:rPr>
          <w:i/>
          <w:iCs/>
          <w:color w:val="D99594" w:themeColor="accent2" w:themeTint="99"/>
          <w:lang w:val="en-GB"/>
        </w:rPr>
        <w:t xml:space="preserve"> add safety information from other relevant ongoing trials.</w:t>
      </w:r>
      <w:r w:rsidR="00C04548" w:rsidRPr="0026547E">
        <w:rPr>
          <w:i/>
          <w:iCs/>
          <w:color w:val="D99594" w:themeColor="accent2" w:themeTint="99"/>
          <w:lang w:val="en-GB"/>
        </w:rPr>
        <w:t xml:space="preserve"> Please fill in</w:t>
      </w:r>
      <w:r w:rsidR="00FF1510" w:rsidRPr="0026547E">
        <w:rPr>
          <w:i/>
          <w:iCs/>
          <w:color w:val="D99594" w:themeColor="accent2" w:themeTint="99"/>
          <w:lang w:val="en-GB"/>
        </w:rPr>
        <w:t xml:space="preserve"> this section</w:t>
      </w:r>
      <w:r w:rsidR="00C04548" w:rsidRPr="0026547E">
        <w:rPr>
          <w:i/>
          <w:iCs/>
          <w:color w:val="D99594" w:themeColor="accent2" w:themeTint="99"/>
          <w:lang w:val="en-GB"/>
        </w:rPr>
        <w:t>.</w:t>
      </w:r>
      <w:r w:rsidRPr="0026547E">
        <w:rPr>
          <w:i/>
          <w:iCs/>
          <w:color w:val="D99594" w:themeColor="accent2" w:themeTint="99"/>
          <w:lang w:val="en-GB"/>
        </w:rPr>
        <w:t>&gt;</w:t>
      </w:r>
    </w:p>
    <w:p w14:paraId="07C6AE94" w14:textId="5C2817A6" w:rsidR="00D1037D" w:rsidRPr="00FC5396" w:rsidRDefault="00D1037D" w:rsidP="008B5262">
      <w:pPr>
        <w:rPr>
          <w:lang w:val="en-GB"/>
        </w:rPr>
      </w:pPr>
      <w:r w:rsidRPr="0015768B">
        <w:rPr>
          <w:lang w:val="en-GB"/>
        </w:rPr>
        <w:t xml:space="preserve">This </w:t>
      </w:r>
      <w:r>
        <w:rPr>
          <w:lang w:val="en-GB"/>
        </w:rPr>
        <w:t>ASR</w:t>
      </w:r>
      <w:r w:rsidRPr="0015768B">
        <w:rPr>
          <w:lang w:val="en-GB"/>
        </w:rPr>
        <w:t xml:space="preserve"> contains safety information from this investigator initiated clinical trial </w:t>
      </w:r>
      <w:r w:rsidR="00056274">
        <w:rPr>
          <w:lang w:val="en-GB"/>
        </w:rPr>
        <w:t xml:space="preserve">only </w:t>
      </w:r>
      <w:r w:rsidRPr="0015768B">
        <w:rPr>
          <w:lang w:val="en-GB"/>
        </w:rPr>
        <w:t xml:space="preserve">and it is </w:t>
      </w:r>
      <w:r w:rsidRPr="00FC5396">
        <w:rPr>
          <w:lang w:val="en-GB"/>
        </w:rPr>
        <w:t>ongoing.</w:t>
      </w:r>
      <w:r w:rsidR="001338FA" w:rsidRPr="00FC5396">
        <w:rPr>
          <w:lang w:val="en-GB"/>
        </w:rPr>
        <w:t xml:space="preserve"> </w:t>
      </w:r>
      <w:r w:rsidR="00A43065" w:rsidRPr="00FC5396">
        <w:rPr>
          <w:lang w:val="en-GB"/>
        </w:rPr>
        <w:t xml:space="preserve"> </w:t>
      </w:r>
    </w:p>
    <w:p w14:paraId="21AEFC73" w14:textId="4DFAA5AE" w:rsidR="001338FA" w:rsidRPr="0026547E" w:rsidRDefault="00A5587F" w:rsidP="008B5262">
      <w:pPr>
        <w:rPr>
          <w:color w:val="D99594" w:themeColor="accent2" w:themeTint="99"/>
          <w:lang w:val="en-GB"/>
        </w:rPr>
      </w:pPr>
      <w:r w:rsidRPr="0026547E">
        <w:rPr>
          <w:color w:val="D99594" w:themeColor="accent2" w:themeTint="99"/>
          <w:lang w:val="en-GB"/>
        </w:rPr>
        <w:t>&lt;</w:t>
      </w:r>
      <w:r w:rsidR="004A0667" w:rsidRPr="0026547E">
        <w:rPr>
          <w:i/>
          <w:iCs/>
          <w:color w:val="D99594" w:themeColor="accent2" w:themeTint="99"/>
        </w:rPr>
        <w:t>Provide a brief update on the ongoing study, including the number of studies currently underway with the AS by the Sponsor (if applicable), the count of SAEs, SARs, and SUSARs, the most frequently observed SARs or SUSARs, and any new relevant information the Sponsor/investigator might be aware of</w:t>
      </w:r>
      <w:r w:rsidR="00261E10">
        <w:rPr>
          <w:i/>
          <w:iCs/>
          <w:color w:val="D99594" w:themeColor="accent2" w:themeTint="99"/>
        </w:rPr>
        <w:t>.</w:t>
      </w:r>
      <w:r w:rsidRPr="0026547E">
        <w:rPr>
          <w:i/>
          <w:iCs/>
          <w:color w:val="D99594" w:themeColor="accent2" w:themeTint="99"/>
          <w:lang w:val="en-GB"/>
        </w:rPr>
        <w:t>&gt;</w:t>
      </w:r>
    </w:p>
    <w:p w14:paraId="69D9113F" w14:textId="77777777" w:rsidR="005F1103" w:rsidRPr="0015768B" w:rsidRDefault="00E64FFE" w:rsidP="003F4EF9">
      <w:pPr>
        <w:pStyle w:val="Otsikko2"/>
        <w:rPr>
          <w:lang w:val="en-GB"/>
        </w:rPr>
      </w:pPr>
      <w:bookmarkStart w:id="45" w:name="_Toc129683709"/>
      <w:r w:rsidRPr="0015768B">
        <w:rPr>
          <w:lang w:val="en-GB"/>
        </w:rPr>
        <w:t>8.3. Long-term follow-up</w:t>
      </w:r>
      <w:bookmarkEnd w:id="45"/>
    </w:p>
    <w:p w14:paraId="47777EC5" w14:textId="77777777" w:rsidR="00730A06" w:rsidRPr="0015768B" w:rsidRDefault="008A21BA" w:rsidP="00730A06">
      <w:pPr>
        <w:rPr>
          <w:lang w:val="en-GB"/>
        </w:rPr>
      </w:pPr>
      <w:r w:rsidRPr="0015768B">
        <w:rPr>
          <w:lang w:val="en-GB"/>
        </w:rPr>
        <w:t>Not</w:t>
      </w:r>
      <w:r w:rsidR="00730A06" w:rsidRPr="0015768B">
        <w:rPr>
          <w:lang w:val="en-GB"/>
        </w:rPr>
        <w:t xml:space="preserve"> applicable.  </w:t>
      </w:r>
    </w:p>
    <w:p w14:paraId="4E473717" w14:textId="77777777" w:rsidR="005F1103" w:rsidRPr="0015768B" w:rsidRDefault="00E64FFE" w:rsidP="003F4EF9">
      <w:pPr>
        <w:pStyle w:val="Otsikko2"/>
        <w:rPr>
          <w:lang w:val="en-GB"/>
        </w:rPr>
      </w:pPr>
      <w:bookmarkStart w:id="46" w:name="_Toc129683710"/>
      <w:r w:rsidRPr="0015768B">
        <w:rPr>
          <w:lang w:val="en-GB"/>
        </w:rPr>
        <w:lastRenderedPageBreak/>
        <w:t>8.4. Other therapeutic use of investigational drug</w:t>
      </w:r>
      <w:bookmarkEnd w:id="46"/>
    </w:p>
    <w:p w14:paraId="1D1939EF" w14:textId="77777777" w:rsidR="006C14A2" w:rsidRPr="0015768B" w:rsidRDefault="005A5074" w:rsidP="006C14A2">
      <w:pPr>
        <w:rPr>
          <w:lang w:val="en-GB"/>
        </w:rPr>
      </w:pPr>
      <w:r w:rsidRPr="0015768B">
        <w:rPr>
          <w:lang w:val="en-GB"/>
        </w:rPr>
        <w:t xml:space="preserve">Not </w:t>
      </w:r>
      <w:r w:rsidR="00AD4F47" w:rsidRPr="0015768B">
        <w:rPr>
          <w:lang w:val="en-GB"/>
        </w:rPr>
        <w:t xml:space="preserve">applicable. </w:t>
      </w:r>
    </w:p>
    <w:p w14:paraId="6BD051B9" w14:textId="77777777" w:rsidR="005F1103" w:rsidRPr="0015768B" w:rsidRDefault="00E64FFE" w:rsidP="003F4EF9">
      <w:pPr>
        <w:pStyle w:val="Otsikko2"/>
        <w:rPr>
          <w:lang w:val="en-GB"/>
        </w:rPr>
      </w:pPr>
      <w:bookmarkStart w:id="47" w:name="_Toc129683711"/>
      <w:r w:rsidRPr="0015768B">
        <w:rPr>
          <w:lang w:val="en-GB"/>
        </w:rPr>
        <w:t>8.5. New safety data related to combination therapies</w:t>
      </w:r>
      <w:bookmarkEnd w:id="47"/>
      <w:r w:rsidRPr="0015768B">
        <w:rPr>
          <w:lang w:val="en-GB"/>
        </w:rPr>
        <w:t xml:space="preserve"> </w:t>
      </w:r>
    </w:p>
    <w:p w14:paraId="31DC267C" w14:textId="77777777" w:rsidR="001B6D6D" w:rsidRPr="0015768B" w:rsidRDefault="008A21BA" w:rsidP="001B6D6D">
      <w:pPr>
        <w:rPr>
          <w:lang w:val="en-GB"/>
        </w:rPr>
      </w:pPr>
      <w:r w:rsidRPr="0015768B">
        <w:rPr>
          <w:lang w:val="en-GB"/>
        </w:rPr>
        <w:t>Not</w:t>
      </w:r>
      <w:r w:rsidR="00C04548" w:rsidRPr="0015768B">
        <w:rPr>
          <w:lang w:val="en-GB"/>
        </w:rPr>
        <w:t xml:space="preserve"> applicable.</w:t>
      </w:r>
    </w:p>
    <w:p w14:paraId="65BD3BAF" w14:textId="77777777" w:rsidR="005F1103" w:rsidRPr="0015768B" w:rsidRDefault="00E64FFE" w:rsidP="005F1103">
      <w:pPr>
        <w:pStyle w:val="Otsikko1"/>
        <w:rPr>
          <w:lang w:val="en-GB"/>
        </w:rPr>
      </w:pPr>
      <w:bookmarkStart w:id="48" w:name="_Toc129683712"/>
      <w:r w:rsidRPr="0015768B">
        <w:rPr>
          <w:lang w:val="en-GB"/>
        </w:rPr>
        <w:t xml:space="preserve">9. Safety findings from non-interventional </w:t>
      </w:r>
      <w:r w:rsidR="006C21B9" w:rsidRPr="0015768B">
        <w:rPr>
          <w:lang w:val="en-GB"/>
        </w:rPr>
        <w:t>studies</w:t>
      </w:r>
      <w:bookmarkEnd w:id="48"/>
    </w:p>
    <w:p w14:paraId="27A7A435" w14:textId="77777777" w:rsidR="00C04548" w:rsidRPr="0015768B" w:rsidRDefault="008A21BA" w:rsidP="00C04548">
      <w:pPr>
        <w:rPr>
          <w:lang w:val="en-GB"/>
        </w:rPr>
      </w:pPr>
      <w:r w:rsidRPr="0015768B">
        <w:rPr>
          <w:lang w:val="en-GB"/>
        </w:rPr>
        <w:t>Not</w:t>
      </w:r>
      <w:r w:rsidR="00C04548" w:rsidRPr="0015768B">
        <w:rPr>
          <w:lang w:val="en-GB"/>
        </w:rPr>
        <w:t xml:space="preserve"> applicable.</w:t>
      </w:r>
    </w:p>
    <w:p w14:paraId="655353DA" w14:textId="77777777" w:rsidR="005F1103" w:rsidRPr="0015768B" w:rsidRDefault="00E64FFE" w:rsidP="005F1103">
      <w:pPr>
        <w:pStyle w:val="Otsikko1"/>
        <w:rPr>
          <w:lang w:val="en-GB"/>
        </w:rPr>
      </w:pPr>
      <w:bookmarkStart w:id="49" w:name="_Toc129683713"/>
      <w:r w:rsidRPr="0015768B">
        <w:rPr>
          <w:lang w:val="en-GB"/>
        </w:rPr>
        <w:t xml:space="preserve">10. Other clinical trial/study safety </w:t>
      </w:r>
      <w:r w:rsidR="00E96B30" w:rsidRPr="0015768B">
        <w:rPr>
          <w:lang w:val="en-GB"/>
        </w:rPr>
        <w:t>information</w:t>
      </w:r>
      <w:bookmarkEnd w:id="49"/>
    </w:p>
    <w:p w14:paraId="7DBC1DAD" w14:textId="2BB43374" w:rsidR="008D06FB" w:rsidRPr="0026547E" w:rsidRDefault="008D06FB" w:rsidP="000C77BC">
      <w:pPr>
        <w:rPr>
          <w:i/>
          <w:iCs/>
          <w:color w:val="D99594" w:themeColor="accent2" w:themeTint="99"/>
          <w:lang w:val="en-GB"/>
        </w:rPr>
      </w:pPr>
      <w:r w:rsidRPr="0026547E">
        <w:rPr>
          <w:i/>
          <w:iCs/>
          <w:color w:val="D99594" w:themeColor="accent2" w:themeTint="99"/>
          <w:lang w:val="en-GB"/>
        </w:rPr>
        <w:t xml:space="preserve">&lt;If applicable include information about new </w:t>
      </w:r>
      <w:r w:rsidR="00D47934" w:rsidRPr="0026547E">
        <w:rPr>
          <w:i/>
          <w:iCs/>
          <w:color w:val="D99594" w:themeColor="accent2" w:themeTint="99"/>
          <w:lang w:val="en-GB"/>
        </w:rPr>
        <w:t xml:space="preserve">relevant </w:t>
      </w:r>
      <w:r w:rsidRPr="0026547E">
        <w:rPr>
          <w:i/>
          <w:iCs/>
          <w:color w:val="D99594" w:themeColor="accent2" w:themeTint="99"/>
          <w:lang w:val="en-GB"/>
        </w:rPr>
        <w:t xml:space="preserve">safety </w:t>
      </w:r>
      <w:r w:rsidR="00D47934" w:rsidRPr="0026547E">
        <w:rPr>
          <w:i/>
          <w:iCs/>
          <w:color w:val="D99594" w:themeColor="accent2" w:themeTint="99"/>
          <w:lang w:val="en-GB"/>
        </w:rPr>
        <w:t>information</w:t>
      </w:r>
      <w:r w:rsidRPr="0026547E">
        <w:rPr>
          <w:i/>
          <w:iCs/>
          <w:color w:val="D99594" w:themeColor="accent2" w:themeTint="99"/>
          <w:lang w:val="en-GB"/>
        </w:rPr>
        <w:t xml:space="preserve"> </w:t>
      </w:r>
      <w:r w:rsidR="000C77BC" w:rsidRPr="0026547E">
        <w:rPr>
          <w:i/>
          <w:iCs/>
          <w:color w:val="D99594" w:themeColor="accent2" w:themeTint="99"/>
          <w:lang w:val="en-GB"/>
        </w:rPr>
        <w:t>from any other clinical trial/study sources that became available to the sponsor during the reporting period</w:t>
      </w:r>
      <w:r w:rsidRPr="0026547E">
        <w:rPr>
          <w:i/>
          <w:iCs/>
          <w:color w:val="D99594" w:themeColor="accent2" w:themeTint="99"/>
          <w:lang w:val="en-GB"/>
        </w:rPr>
        <w:t xml:space="preserve"> or state ‘Not applicable’.&gt;</w:t>
      </w:r>
    </w:p>
    <w:p w14:paraId="508A3780" w14:textId="77777777" w:rsidR="0049741A" w:rsidRPr="002276FB" w:rsidRDefault="0049741A" w:rsidP="00C04548">
      <w:pPr>
        <w:rPr>
          <w:lang w:val="en-GB"/>
        </w:rPr>
      </w:pPr>
    </w:p>
    <w:p w14:paraId="3F24E31E" w14:textId="77777777" w:rsidR="005F1103" w:rsidRPr="002276FB" w:rsidRDefault="00E64FFE" w:rsidP="005F1103">
      <w:pPr>
        <w:pStyle w:val="Otsikko1"/>
        <w:rPr>
          <w:lang w:val="en-GB"/>
        </w:rPr>
      </w:pPr>
      <w:bookmarkStart w:id="50" w:name="_Toc129683714"/>
      <w:r w:rsidRPr="002276FB">
        <w:rPr>
          <w:lang w:val="en-GB"/>
        </w:rPr>
        <w:t xml:space="preserve">11. </w:t>
      </w:r>
      <w:commentRangeStart w:id="51"/>
      <w:r w:rsidRPr="002276FB">
        <w:rPr>
          <w:lang w:val="en-GB"/>
        </w:rPr>
        <w:t>Safety findings from marketing experience</w:t>
      </w:r>
      <w:commentRangeEnd w:id="51"/>
      <w:r w:rsidR="003D1228" w:rsidRPr="002276FB">
        <w:rPr>
          <w:rStyle w:val="Kommentinviite"/>
          <w:rFonts w:ascii="Segoe UI" w:hAnsi="Segoe UI"/>
          <w:b w:val="0"/>
          <w:bCs w:val="0"/>
          <w:color w:val="auto"/>
          <w:lang w:val="en-GB"/>
        </w:rPr>
        <w:commentReference w:id="51"/>
      </w:r>
      <w:bookmarkEnd w:id="50"/>
    </w:p>
    <w:p w14:paraId="3D383385" w14:textId="6BC18B77" w:rsidR="008D06FB" w:rsidRPr="0026547E" w:rsidRDefault="008D06FB" w:rsidP="008D06FB">
      <w:pPr>
        <w:rPr>
          <w:i/>
          <w:iCs/>
          <w:color w:val="D99594" w:themeColor="accent2" w:themeTint="99"/>
          <w:lang w:val="en-GB"/>
        </w:rPr>
      </w:pPr>
      <w:bookmarkStart w:id="52" w:name="_Toc129683715"/>
      <w:r w:rsidRPr="0026547E">
        <w:rPr>
          <w:i/>
          <w:iCs/>
          <w:color w:val="D99594" w:themeColor="accent2" w:themeTint="99"/>
          <w:lang w:val="en-GB"/>
        </w:rPr>
        <w:t>&lt;If applicable include information about new safety findings from marketing experience</w:t>
      </w:r>
      <w:r w:rsidR="00B74330" w:rsidRPr="0026547E">
        <w:rPr>
          <w:i/>
          <w:iCs/>
          <w:color w:val="D99594" w:themeColor="accent2" w:themeTint="99"/>
          <w:lang w:val="en-GB"/>
        </w:rPr>
        <w:t xml:space="preserve"> the sponsor became aware of during the reporting period, particularly if </w:t>
      </w:r>
      <w:r w:rsidR="00115028" w:rsidRPr="0026547E">
        <w:rPr>
          <w:i/>
          <w:iCs/>
          <w:color w:val="D99594" w:themeColor="accent2" w:themeTint="99"/>
          <w:lang w:val="en-GB"/>
        </w:rPr>
        <w:t xml:space="preserve">the product labelling was updated or </w:t>
      </w:r>
      <w:r w:rsidRPr="0026547E">
        <w:rPr>
          <w:i/>
          <w:iCs/>
          <w:color w:val="D99594" w:themeColor="accent2" w:themeTint="99"/>
          <w:lang w:val="en-GB"/>
        </w:rPr>
        <w:t xml:space="preserve">state ‘Not applicable’.&gt; </w:t>
      </w:r>
    </w:p>
    <w:p w14:paraId="316967F2" w14:textId="77777777" w:rsidR="005F1103" w:rsidRPr="002276FB" w:rsidRDefault="00E64FFE" w:rsidP="005F1103">
      <w:pPr>
        <w:pStyle w:val="Otsikko1"/>
        <w:rPr>
          <w:lang w:val="en-GB"/>
        </w:rPr>
      </w:pPr>
      <w:r w:rsidRPr="002276FB">
        <w:rPr>
          <w:lang w:val="en-GB"/>
        </w:rPr>
        <w:t xml:space="preserve">12. Non-clinical </w:t>
      </w:r>
      <w:r w:rsidR="001D3983" w:rsidRPr="002276FB">
        <w:rPr>
          <w:lang w:val="en-GB"/>
        </w:rPr>
        <w:t>data</w:t>
      </w:r>
      <w:bookmarkEnd w:id="52"/>
    </w:p>
    <w:p w14:paraId="22AB1113" w14:textId="44F66F01" w:rsidR="008D06FB" w:rsidRPr="008D06FB" w:rsidRDefault="008D06FB" w:rsidP="008D06FB">
      <w:pPr>
        <w:rPr>
          <w:i/>
          <w:iCs/>
          <w:color w:val="E5B8B7" w:themeColor="accent2" w:themeTint="66"/>
          <w:lang w:val="en-GB"/>
        </w:rPr>
      </w:pPr>
      <w:bookmarkStart w:id="53" w:name="_Toc129683716"/>
      <w:r w:rsidRPr="0026547E">
        <w:rPr>
          <w:i/>
          <w:iCs/>
          <w:color w:val="D99594" w:themeColor="accent2" w:themeTint="99"/>
          <w:lang w:val="en-GB"/>
        </w:rPr>
        <w:t xml:space="preserve">&lt;If applicable include information about new </w:t>
      </w:r>
      <w:r w:rsidR="004C2E81" w:rsidRPr="0026547E">
        <w:rPr>
          <w:i/>
          <w:iCs/>
          <w:color w:val="D99594" w:themeColor="accent2" w:themeTint="99"/>
        </w:rPr>
        <w:t>major safety findings from non-clinical studies</w:t>
      </w:r>
      <w:r w:rsidRPr="0026547E">
        <w:rPr>
          <w:i/>
          <w:iCs/>
          <w:color w:val="D99594" w:themeColor="accent2" w:themeTint="99"/>
          <w:lang w:val="en-GB"/>
        </w:rPr>
        <w:t xml:space="preserve"> obtained during the reporting period or state ‘Not applicable’.&gt;</w:t>
      </w:r>
      <w:r w:rsidRPr="008D06FB">
        <w:rPr>
          <w:i/>
          <w:iCs/>
          <w:color w:val="E5B8B7" w:themeColor="accent2" w:themeTint="66"/>
          <w:lang w:val="en-GB"/>
        </w:rPr>
        <w:t xml:space="preserve"> </w:t>
      </w:r>
    </w:p>
    <w:p w14:paraId="378A3A6C" w14:textId="77777777" w:rsidR="005F1103" w:rsidRPr="0015768B" w:rsidRDefault="00E64FFE" w:rsidP="005F1103">
      <w:pPr>
        <w:pStyle w:val="Otsikko1"/>
        <w:rPr>
          <w:lang w:val="en-GB"/>
        </w:rPr>
      </w:pPr>
      <w:r w:rsidRPr="0015768B">
        <w:rPr>
          <w:lang w:val="en-GB"/>
        </w:rPr>
        <w:t>13. Literature</w:t>
      </w:r>
      <w:bookmarkEnd w:id="53"/>
      <w:r w:rsidRPr="0015768B">
        <w:rPr>
          <w:lang w:val="en-GB"/>
        </w:rPr>
        <w:t xml:space="preserve"> </w:t>
      </w:r>
    </w:p>
    <w:p w14:paraId="4CF00FE9" w14:textId="77777777" w:rsidR="00C85960" w:rsidRPr="0015768B" w:rsidRDefault="00C85960" w:rsidP="00C85960">
      <w:pPr>
        <w:rPr>
          <w:lang w:val="en-GB"/>
        </w:rPr>
      </w:pPr>
      <w:r w:rsidRPr="0015768B">
        <w:rPr>
          <w:lang w:val="en-GB"/>
        </w:rPr>
        <w:t>A full review of the</w:t>
      </w:r>
      <w:r w:rsidR="00A71989" w:rsidRPr="0015768B">
        <w:rPr>
          <w:lang w:val="en-GB"/>
        </w:rPr>
        <w:t xml:space="preserve"> scientific, peer-reviewed</w:t>
      </w:r>
      <w:r w:rsidRPr="0015768B">
        <w:rPr>
          <w:lang w:val="en-GB"/>
        </w:rPr>
        <w:t xml:space="preserve"> literature was conducted during </w:t>
      </w:r>
      <w:r w:rsidR="00A71989" w:rsidRPr="0015768B">
        <w:rPr>
          <w:lang w:val="en-GB"/>
        </w:rPr>
        <w:t xml:space="preserve">for the duration of </w:t>
      </w:r>
      <w:r w:rsidRPr="0015768B">
        <w:rPr>
          <w:lang w:val="en-GB"/>
        </w:rPr>
        <w:t>the</w:t>
      </w:r>
      <w:r w:rsidR="00A71989" w:rsidRPr="0015768B">
        <w:rPr>
          <w:lang w:val="en-GB"/>
        </w:rPr>
        <w:t xml:space="preserve"> current</w:t>
      </w:r>
      <w:r w:rsidRPr="0015768B">
        <w:rPr>
          <w:lang w:val="en-GB"/>
        </w:rPr>
        <w:t xml:space="preserve"> reporting period. In the searches performed [</w:t>
      </w:r>
      <w:r w:rsidRPr="0015768B">
        <w:rPr>
          <w:highlight w:val="green"/>
          <w:lang w:val="en-GB"/>
        </w:rPr>
        <w:t>no</w:t>
      </w:r>
      <w:r w:rsidRPr="0015768B">
        <w:rPr>
          <w:lang w:val="en-GB"/>
        </w:rPr>
        <w:t xml:space="preserve">] new </w:t>
      </w:r>
      <w:commentRangeStart w:id="54"/>
      <w:r w:rsidRPr="0015768B">
        <w:rPr>
          <w:lang w:val="en-GB"/>
        </w:rPr>
        <w:t xml:space="preserve">relevant safety findings </w:t>
      </w:r>
      <w:commentRangeEnd w:id="54"/>
      <w:r w:rsidR="004517FC" w:rsidRPr="0015768B">
        <w:rPr>
          <w:rStyle w:val="Kommentinviite"/>
          <w:lang w:val="en-GB"/>
        </w:rPr>
        <w:commentReference w:id="54"/>
      </w:r>
      <w:r w:rsidRPr="0015768B">
        <w:rPr>
          <w:lang w:val="en-GB"/>
        </w:rPr>
        <w:t>for [</w:t>
      </w:r>
      <w:r w:rsidR="00D23BD2" w:rsidRPr="0015768B">
        <w:rPr>
          <w:highlight w:val="green"/>
          <w:lang w:val="en-GB"/>
        </w:rPr>
        <w:t>name study drug</w:t>
      </w:r>
      <w:r w:rsidRPr="0015768B">
        <w:rPr>
          <w:lang w:val="en-GB"/>
        </w:rPr>
        <w:t xml:space="preserve">] were reported in </w:t>
      </w:r>
      <w:commentRangeStart w:id="55"/>
      <w:r w:rsidRPr="0015768B">
        <w:rPr>
          <w:lang w:val="en-GB"/>
        </w:rPr>
        <w:t>published scientific literat</w:t>
      </w:r>
      <w:r w:rsidR="00D23BD2" w:rsidRPr="0015768B">
        <w:rPr>
          <w:lang w:val="en-GB"/>
        </w:rPr>
        <w:t xml:space="preserve">ure </w:t>
      </w:r>
      <w:commentRangeEnd w:id="55"/>
      <w:r w:rsidR="00F124A1">
        <w:rPr>
          <w:rStyle w:val="Kommentinviite"/>
        </w:rPr>
        <w:commentReference w:id="55"/>
      </w:r>
      <w:r w:rsidR="00D23BD2" w:rsidRPr="0015768B">
        <w:rPr>
          <w:lang w:val="en-GB"/>
        </w:rPr>
        <w:t>or unpublished manuscripts.</w:t>
      </w:r>
    </w:p>
    <w:p w14:paraId="309F2CD8" w14:textId="77777777" w:rsidR="005F1103" w:rsidRPr="0015768B" w:rsidRDefault="00E64FFE" w:rsidP="005F1103">
      <w:pPr>
        <w:pStyle w:val="Otsikko1"/>
        <w:rPr>
          <w:lang w:val="en-GB"/>
        </w:rPr>
      </w:pPr>
      <w:bookmarkStart w:id="56" w:name="_Toc129683717"/>
      <w:r w:rsidRPr="0015768B">
        <w:rPr>
          <w:lang w:val="en-GB"/>
        </w:rPr>
        <w:t>14. Other DSURs</w:t>
      </w:r>
      <w:bookmarkEnd w:id="56"/>
      <w:r w:rsidRPr="0015768B">
        <w:rPr>
          <w:lang w:val="en-GB"/>
        </w:rPr>
        <w:t xml:space="preserve"> </w:t>
      </w:r>
    </w:p>
    <w:p w14:paraId="65883415" w14:textId="4330C892" w:rsidR="00B12ED7" w:rsidRPr="008D06FB" w:rsidRDefault="008D06FB" w:rsidP="00B12ED7">
      <w:pPr>
        <w:rPr>
          <w:i/>
          <w:iCs/>
          <w:color w:val="E5B8B7" w:themeColor="accent2" w:themeTint="66"/>
          <w:lang w:val="en-GB"/>
        </w:rPr>
      </w:pPr>
      <w:r w:rsidRPr="0026547E">
        <w:rPr>
          <w:i/>
          <w:iCs/>
          <w:color w:val="D99594" w:themeColor="accent2" w:themeTint="99"/>
          <w:lang w:val="en-GB"/>
        </w:rPr>
        <w:t>&lt;</w:t>
      </w:r>
      <w:r w:rsidR="00317F6B" w:rsidRPr="0026547E">
        <w:rPr>
          <w:i/>
          <w:iCs/>
          <w:color w:val="D99594" w:themeColor="accent2" w:themeTint="99"/>
          <w:lang w:val="en-GB"/>
        </w:rPr>
        <w:t>If applicable i</w:t>
      </w:r>
      <w:r w:rsidR="007F35F2" w:rsidRPr="0026547E">
        <w:rPr>
          <w:i/>
          <w:iCs/>
          <w:color w:val="D99594" w:themeColor="accent2" w:themeTint="99"/>
          <w:lang w:val="en-GB"/>
        </w:rPr>
        <w:t xml:space="preserve">nclude information about other ASRs </w:t>
      </w:r>
      <w:r w:rsidR="00317F6B" w:rsidRPr="0026547E">
        <w:rPr>
          <w:i/>
          <w:iCs/>
          <w:color w:val="D99594" w:themeColor="accent2" w:themeTint="99"/>
          <w:lang w:val="en-GB"/>
        </w:rPr>
        <w:t xml:space="preserve">or </w:t>
      </w:r>
      <w:r w:rsidRPr="0026547E">
        <w:rPr>
          <w:i/>
          <w:iCs/>
          <w:color w:val="D99594" w:themeColor="accent2" w:themeTint="99"/>
          <w:lang w:val="en-GB"/>
        </w:rPr>
        <w:t xml:space="preserve">state </w:t>
      </w:r>
      <w:r w:rsidR="00317F6B" w:rsidRPr="0026547E">
        <w:rPr>
          <w:i/>
          <w:iCs/>
          <w:color w:val="D99594" w:themeColor="accent2" w:themeTint="99"/>
          <w:lang w:val="en-GB"/>
        </w:rPr>
        <w:t>‘Not applicable’.&gt;</w:t>
      </w:r>
      <w:r w:rsidR="009F579F" w:rsidRPr="008D06FB">
        <w:rPr>
          <w:i/>
          <w:iCs/>
          <w:color w:val="E5B8B7" w:themeColor="accent2" w:themeTint="66"/>
          <w:lang w:val="en-GB"/>
        </w:rPr>
        <w:t xml:space="preserve"> </w:t>
      </w:r>
    </w:p>
    <w:p w14:paraId="3542ECC3" w14:textId="77777777" w:rsidR="005F1103" w:rsidRPr="0015768B" w:rsidRDefault="00E64FFE" w:rsidP="005F1103">
      <w:pPr>
        <w:pStyle w:val="Otsikko1"/>
        <w:rPr>
          <w:lang w:val="en-GB"/>
        </w:rPr>
      </w:pPr>
      <w:bookmarkStart w:id="57" w:name="_Toc129683718"/>
      <w:r w:rsidRPr="0015768B">
        <w:rPr>
          <w:lang w:val="en-GB"/>
        </w:rPr>
        <w:lastRenderedPageBreak/>
        <w:t xml:space="preserve">15. </w:t>
      </w:r>
      <w:commentRangeStart w:id="58"/>
      <w:r w:rsidRPr="0015768B">
        <w:rPr>
          <w:lang w:val="en-GB"/>
        </w:rPr>
        <w:t xml:space="preserve">Lack of </w:t>
      </w:r>
      <w:r w:rsidR="000D7368" w:rsidRPr="0015768B">
        <w:rPr>
          <w:lang w:val="en-GB"/>
        </w:rPr>
        <w:t>efficacy</w:t>
      </w:r>
      <w:commentRangeEnd w:id="58"/>
      <w:r w:rsidR="00B46BB5" w:rsidRPr="0015768B">
        <w:rPr>
          <w:rStyle w:val="Kommentinviite"/>
          <w:rFonts w:ascii="Segoe UI" w:hAnsi="Segoe UI"/>
          <w:b w:val="0"/>
          <w:bCs w:val="0"/>
          <w:color w:val="auto"/>
          <w:lang w:val="en-GB"/>
        </w:rPr>
        <w:commentReference w:id="58"/>
      </w:r>
      <w:bookmarkEnd w:id="57"/>
    </w:p>
    <w:p w14:paraId="6381B43A" w14:textId="77777777" w:rsidR="00A763DF" w:rsidRPr="0026547E" w:rsidRDefault="00A763DF" w:rsidP="0033500A">
      <w:pPr>
        <w:rPr>
          <w:i/>
          <w:color w:val="D99594" w:themeColor="accent2" w:themeTint="99"/>
          <w:lang w:val="en-GB"/>
        </w:rPr>
      </w:pPr>
      <w:r w:rsidRPr="0026547E">
        <w:rPr>
          <w:color w:val="D99594" w:themeColor="accent2" w:themeTint="99"/>
          <w:lang w:val="en-GB"/>
        </w:rPr>
        <w:t>&lt;</w:t>
      </w:r>
      <w:r w:rsidRPr="0026547E">
        <w:rPr>
          <w:i/>
          <w:color w:val="D99594" w:themeColor="accent2" w:themeTint="99"/>
          <w:lang w:val="en-GB"/>
        </w:rPr>
        <w:t>Describe lack of efficacy</w:t>
      </w:r>
      <w:r w:rsidR="005D0B42" w:rsidRPr="0026547E">
        <w:rPr>
          <w:i/>
          <w:color w:val="D99594" w:themeColor="accent2" w:themeTint="99"/>
          <w:lang w:val="en-GB"/>
        </w:rPr>
        <w:t xml:space="preserve"> for IMP(s) intended to treat serious or life-threatening illnesses, that could reflect a significant risk to clinical trial subjects</w:t>
      </w:r>
      <w:r w:rsidR="00BA54B9" w:rsidRPr="0026547E">
        <w:rPr>
          <w:i/>
          <w:color w:val="D99594" w:themeColor="accent2" w:themeTint="99"/>
          <w:lang w:val="en-GB"/>
        </w:rPr>
        <w:t xml:space="preserve"> or ‘Not applicable’.</w:t>
      </w:r>
      <w:r w:rsidRPr="0026547E">
        <w:rPr>
          <w:i/>
          <w:color w:val="D99594" w:themeColor="accent2" w:themeTint="99"/>
          <w:lang w:val="en-GB"/>
        </w:rPr>
        <w:t>&gt;</w:t>
      </w:r>
    </w:p>
    <w:p w14:paraId="01EC088A" w14:textId="77777777" w:rsidR="005F1103" w:rsidRPr="0015768B" w:rsidRDefault="00E64FFE" w:rsidP="005F1103">
      <w:pPr>
        <w:pStyle w:val="Otsikko1"/>
        <w:rPr>
          <w:lang w:val="en-GB"/>
        </w:rPr>
      </w:pPr>
      <w:bookmarkStart w:id="59" w:name="_Toc129683719"/>
      <w:r w:rsidRPr="0015768B">
        <w:rPr>
          <w:lang w:val="en-GB"/>
        </w:rPr>
        <w:t xml:space="preserve">16. Region-specific information </w:t>
      </w:r>
      <w:bookmarkEnd w:id="59"/>
    </w:p>
    <w:p w14:paraId="4B887ECB" w14:textId="54FE6D98" w:rsidR="00EA1BD6" w:rsidRPr="0026547E" w:rsidRDefault="00CB123B" w:rsidP="00EA1BD6">
      <w:pPr>
        <w:rPr>
          <w:i/>
          <w:color w:val="D99594" w:themeColor="accent2" w:themeTint="99"/>
          <w:lang w:val="en-GB"/>
        </w:rPr>
      </w:pPr>
      <w:r w:rsidRPr="0026547E">
        <w:rPr>
          <w:i/>
          <w:color w:val="D99594" w:themeColor="accent2" w:themeTint="99"/>
          <w:lang w:val="en-GB"/>
        </w:rPr>
        <w:t>&lt;</w:t>
      </w:r>
      <w:r w:rsidR="00F13828" w:rsidRPr="0026547E">
        <w:rPr>
          <w:i/>
          <w:color w:val="D99594" w:themeColor="accent2" w:themeTint="99"/>
          <w:lang w:val="en-GB"/>
        </w:rPr>
        <w:t xml:space="preserve">This section should include </w:t>
      </w:r>
      <w:r w:rsidR="00D75F40" w:rsidRPr="0026547E">
        <w:rPr>
          <w:i/>
          <w:color w:val="D99594" w:themeColor="accent2" w:themeTint="99"/>
          <w:lang w:val="en-GB"/>
        </w:rPr>
        <w:t xml:space="preserve">the </w:t>
      </w:r>
      <w:r w:rsidR="00EA1BD6" w:rsidRPr="0026547E">
        <w:rPr>
          <w:i/>
          <w:color w:val="D99594" w:themeColor="accent2" w:themeTint="99"/>
          <w:lang w:val="en-GB"/>
        </w:rPr>
        <w:t>region-specific</w:t>
      </w:r>
      <w:r w:rsidR="006055FD" w:rsidRPr="0026547E">
        <w:rPr>
          <w:i/>
          <w:color w:val="D99594" w:themeColor="accent2" w:themeTint="99"/>
          <w:lang w:val="en-GB"/>
        </w:rPr>
        <w:t xml:space="preserve"> information that is required in the EU/EEA</w:t>
      </w:r>
      <w:r w:rsidR="00EA1BD6" w:rsidRPr="0026547E">
        <w:rPr>
          <w:i/>
          <w:color w:val="D99594" w:themeColor="accent2" w:themeTint="99"/>
          <w:lang w:val="en-GB"/>
        </w:rPr>
        <w:t xml:space="preserve"> either within this section or as appendices to the ASR</w:t>
      </w:r>
      <w:r w:rsidR="00A26B4E">
        <w:rPr>
          <w:i/>
          <w:color w:val="D99594" w:themeColor="accent2" w:themeTint="99"/>
          <w:lang w:val="en-GB"/>
        </w:rPr>
        <w:t>.</w:t>
      </w:r>
      <w:r w:rsidR="00EA1BD6" w:rsidRPr="0026547E">
        <w:rPr>
          <w:i/>
          <w:color w:val="D99594" w:themeColor="accent2" w:themeTint="99"/>
          <w:lang w:val="en-GB"/>
        </w:rPr>
        <w:t xml:space="preserve">&gt; </w:t>
      </w:r>
    </w:p>
    <w:p w14:paraId="71682D27" w14:textId="0206D5E3" w:rsidR="004D7AE2" w:rsidRPr="002276FB" w:rsidRDefault="004D7AE2" w:rsidP="00EA1BD6">
      <w:pPr>
        <w:pStyle w:val="Luettelokappale"/>
        <w:numPr>
          <w:ilvl w:val="0"/>
          <w:numId w:val="12"/>
        </w:numPr>
        <w:rPr>
          <w:iCs/>
          <w:u w:val="single"/>
        </w:rPr>
      </w:pPr>
      <w:r w:rsidRPr="002276FB">
        <w:rPr>
          <w:iCs/>
          <w:u w:val="single"/>
        </w:rPr>
        <w:t>Cumulative summary tabulation of serious adverse reactions:</w:t>
      </w:r>
    </w:p>
    <w:p w14:paraId="3DF823F4" w14:textId="7E63C80C" w:rsidR="00653B29" w:rsidRPr="0026547E" w:rsidRDefault="00653B29" w:rsidP="00653B29">
      <w:pPr>
        <w:pStyle w:val="Luettelokappale"/>
        <w:ind w:left="1080"/>
        <w:rPr>
          <w:i/>
          <w:color w:val="D99594" w:themeColor="accent2" w:themeTint="99"/>
          <w:lang w:val="en-GB"/>
        </w:rPr>
      </w:pPr>
      <w:r w:rsidRPr="0026547E">
        <w:rPr>
          <w:i/>
          <w:color w:val="D99594" w:themeColor="accent2" w:themeTint="99"/>
          <w:lang w:val="en-GB"/>
        </w:rPr>
        <w:t>&lt;This section should provide a cumulative summary tabulation of SARs reported in the sponsor’s clinical trial, from the trial authorization to the data lock point of the current ASR. Only serious adverse reactions, meaning those serious adverse events that are deemed at least possibly related</w:t>
      </w:r>
      <w:r w:rsidR="00A26B4E">
        <w:rPr>
          <w:i/>
          <w:color w:val="D99594" w:themeColor="accent2" w:themeTint="99"/>
          <w:lang w:val="en-GB"/>
        </w:rPr>
        <w:t>,</w:t>
      </w:r>
      <w:r w:rsidRPr="0026547E">
        <w:rPr>
          <w:i/>
          <w:color w:val="D99594" w:themeColor="accent2" w:themeTint="99"/>
          <w:lang w:val="en-GB"/>
        </w:rPr>
        <w:t xml:space="preserve"> must be included in this table.&gt; </w:t>
      </w:r>
    </w:p>
    <w:p w14:paraId="0D4344EF" w14:textId="5DB8AB29" w:rsidR="00653B29" w:rsidRPr="00653B29" w:rsidRDefault="00653B29" w:rsidP="00653B29">
      <w:pPr>
        <w:pStyle w:val="Luettelokappale"/>
        <w:ind w:left="1080"/>
        <w:rPr>
          <w:iCs/>
          <w:lang w:val="en-GB"/>
        </w:rPr>
      </w:pPr>
    </w:p>
    <w:tbl>
      <w:tblPr>
        <w:tblStyle w:val="TaulukkoRuudukko"/>
        <w:tblW w:w="0" w:type="auto"/>
        <w:tblLook w:val="04A0" w:firstRow="1" w:lastRow="0" w:firstColumn="1" w:lastColumn="0" w:noHBand="0" w:noVBand="1"/>
      </w:tblPr>
      <w:tblGrid>
        <w:gridCol w:w="2121"/>
        <w:gridCol w:w="1758"/>
        <w:gridCol w:w="21"/>
        <w:gridCol w:w="1792"/>
        <w:gridCol w:w="1642"/>
        <w:gridCol w:w="2016"/>
      </w:tblGrid>
      <w:tr w:rsidR="006F7575" w:rsidRPr="00653B29" w14:paraId="3BBAC1A1" w14:textId="77777777" w:rsidTr="00436588">
        <w:trPr>
          <w:gridAfter w:val="3"/>
          <w:wAfter w:w="5450" w:type="dxa"/>
        </w:trPr>
        <w:tc>
          <w:tcPr>
            <w:tcW w:w="2121" w:type="dxa"/>
          </w:tcPr>
          <w:p w14:paraId="2C7CB310" w14:textId="77777777" w:rsidR="006F7575" w:rsidRPr="00653B29" w:rsidRDefault="006F7575" w:rsidP="00436588">
            <w:pPr>
              <w:rPr>
                <w:sz w:val="16"/>
                <w:szCs w:val="16"/>
                <w:lang w:val="en-GB"/>
              </w:rPr>
            </w:pPr>
            <w:r w:rsidRPr="00653B29">
              <w:rPr>
                <w:sz w:val="16"/>
                <w:szCs w:val="16"/>
                <w:lang w:val="en-GB"/>
              </w:rPr>
              <w:t>System organ Class</w:t>
            </w:r>
          </w:p>
        </w:tc>
        <w:tc>
          <w:tcPr>
            <w:tcW w:w="1779" w:type="dxa"/>
            <w:gridSpan w:val="2"/>
          </w:tcPr>
          <w:p w14:paraId="46EE36D7" w14:textId="77777777" w:rsidR="006F7575" w:rsidRPr="00653B29" w:rsidRDefault="006F7575" w:rsidP="00436588">
            <w:pPr>
              <w:rPr>
                <w:sz w:val="16"/>
                <w:szCs w:val="16"/>
                <w:lang w:val="en-GB"/>
              </w:rPr>
            </w:pPr>
          </w:p>
        </w:tc>
      </w:tr>
      <w:tr w:rsidR="006F7575" w:rsidRPr="00653B29" w14:paraId="67DDFB54" w14:textId="77777777" w:rsidTr="00436588">
        <w:tc>
          <w:tcPr>
            <w:tcW w:w="2121" w:type="dxa"/>
          </w:tcPr>
          <w:p w14:paraId="06A30A12" w14:textId="77777777" w:rsidR="006F7575" w:rsidRPr="00653B29" w:rsidRDefault="006F7575" w:rsidP="00436588">
            <w:pPr>
              <w:rPr>
                <w:sz w:val="16"/>
                <w:szCs w:val="16"/>
                <w:lang w:val="en-GB"/>
              </w:rPr>
            </w:pPr>
            <w:r w:rsidRPr="00653B29">
              <w:rPr>
                <w:sz w:val="16"/>
                <w:szCs w:val="16"/>
                <w:lang w:val="en-GB"/>
              </w:rPr>
              <w:t>Preferred term</w:t>
            </w:r>
          </w:p>
        </w:tc>
        <w:tc>
          <w:tcPr>
            <w:tcW w:w="1758" w:type="dxa"/>
          </w:tcPr>
          <w:p w14:paraId="37C5FA14" w14:textId="77777777" w:rsidR="006F7575" w:rsidRPr="00653B29" w:rsidRDefault="006F7575" w:rsidP="00436588">
            <w:pPr>
              <w:jc w:val="center"/>
              <w:rPr>
                <w:sz w:val="16"/>
                <w:szCs w:val="16"/>
                <w:lang w:val="en-GB"/>
              </w:rPr>
            </w:pPr>
            <w:commentRangeStart w:id="60"/>
            <w:r w:rsidRPr="00653B29">
              <w:rPr>
                <w:sz w:val="16"/>
                <w:szCs w:val="16"/>
                <w:lang w:val="en-GB"/>
              </w:rPr>
              <w:t>Study drug</w:t>
            </w:r>
          </w:p>
        </w:tc>
        <w:tc>
          <w:tcPr>
            <w:tcW w:w="1813" w:type="dxa"/>
            <w:gridSpan w:val="2"/>
          </w:tcPr>
          <w:p w14:paraId="4117AB2E" w14:textId="77777777" w:rsidR="006F7575" w:rsidRPr="00653B29" w:rsidRDefault="006F7575" w:rsidP="00436588">
            <w:pPr>
              <w:jc w:val="center"/>
              <w:rPr>
                <w:sz w:val="16"/>
                <w:szCs w:val="16"/>
                <w:lang w:val="en-GB"/>
              </w:rPr>
            </w:pPr>
            <w:r w:rsidRPr="00653B29">
              <w:rPr>
                <w:sz w:val="16"/>
                <w:szCs w:val="16"/>
                <w:lang w:val="en-GB"/>
              </w:rPr>
              <w:t>Placebo</w:t>
            </w:r>
          </w:p>
        </w:tc>
        <w:tc>
          <w:tcPr>
            <w:tcW w:w="1642" w:type="dxa"/>
          </w:tcPr>
          <w:p w14:paraId="440EDC5A" w14:textId="77777777" w:rsidR="006F7575" w:rsidRPr="00653B29" w:rsidRDefault="006F7575" w:rsidP="00436588">
            <w:pPr>
              <w:jc w:val="center"/>
              <w:rPr>
                <w:sz w:val="16"/>
                <w:szCs w:val="16"/>
                <w:lang w:val="en-GB"/>
              </w:rPr>
            </w:pPr>
            <w:r w:rsidRPr="00653B29">
              <w:rPr>
                <w:sz w:val="16"/>
                <w:szCs w:val="16"/>
                <w:lang w:val="en-GB"/>
              </w:rPr>
              <w:t>Active comparator</w:t>
            </w:r>
          </w:p>
        </w:tc>
        <w:tc>
          <w:tcPr>
            <w:tcW w:w="2016" w:type="dxa"/>
          </w:tcPr>
          <w:p w14:paraId="09283DF8" w14:textId="77777777" w:rsidR="006F7575" w:rsidRPr="00653B29" w:rsidRDefault="006F7575" w:rsidP="00436588">
            <w:pPr>
              <w:jc w:val="center"/>
              <w:rPr>
                <w:sz w:val="16"/>
                <w:szCs w:val="16"/>
                <w:lang w:val="en-GB"/>
              </w:rPr>
            </w:pPr>
            <w:r w:rsidRPr="00653B29">
              <w:rPr>
                <w:sz w:val="16"/>
                <w:szCs w:val="16"/>
                <w:lang w:val="en-GB"/>
              </w:rPr>
              <w:t>Code unbroken</w:t>
            </w:r>
            <w:commentRangeEnd w:id="60"/>
            <w:r w:rsidRPr="00653B29">
              <w:rPr>
                <w:rStyle w:val="Kommentinviite"/>
                <w:lang w:val="en-GB"/>
              </w:rPr>
              <w:commentReference w:id="60"/>
            </w:r>
          </w:p>
        </w:tc>
      </w:tr>
      <w:tr w:rsidR="006F7575" w:rsidRPr="00653B29" w14:paraId="671E2627" w14:textId="77777777" w:rsidTr="00436588">
        <w:tc>
          <w:tcPr>
            <w:tcW w:w="2121" w:type="dxa"/>
          </w:tcPr>
          <w:p w14:paraId="49FFB41C" w14:textId="77777777" w:rsidR="006F7575" w:rsidRPr="00653B29" w:rsidRDefault="006F7575" w:rsidP="00436588">
            <w:pPr>
              <w:rPr>
                <w:sz w:val="16"/>
                <w:szCs w:val="16"/>
                <w:u w:val="single"/>
                <w:lang w:val="en-GB"/>
              </w:rPr>
            </w:pPr>
            <w:commentRangeStart w:id="61"/>
            <w:r w:rsidRPr="00653B29">
              <w:rPr>
                <w:sz w:val="16"/>
                <w:szCs w:val="16"/>
                <w:u w:val="single"/>
                <w:lang w:val="en-GB"/>
              </w:rPr>
              <w:t>Cardiac disorders</w:t>
            </w:r>
          </w:p>
          <w:p w14:paraId="71AD73E8" w14:textId="77777777" w:rsidR="006F7575" w:rsidRPr="00653B29" w:rsidRDefault="006F7575" w:rsidP="00436588">
            <w:pPr>
              <w:pStyle w:val="Luettelokappale"/>
              <w:numPr>
                <w:ilvl w:val="0"/>
                <w:numId w:val="1"/>
              </w:numPr>
              <w:rPr>
                <w:sz w:val="16"/>
                <w:szCs w:val="16"/>
                <w:u w:val="single"/>
                <w:lang w:val="en-GB"/>
              </w:rPr>
            </w:pPr>
            <w:r w:rsidRPr="00653B29">
              <w:rPr>
                <w:sz w:val="16"/>
                <w:szCs w:val="16"/>
                <w:lang w:val="en-GB"/>
              </w:rPr>
              <w:t>Atrial fibrillation</w:t>
            </w:r>
          </w:p>
          <w:p w14:paraId="26446E0A" w14:textId="77777777" w:rsidR="006F7575" w:rsidRPr="00653B29" w:rsidRDefault="006F7575" w:rsidP="00436588">
            <w:pPr>
              <w:pStyle w:val="Luettelokappale"/>
              <w:numPr>
                <w:ilvl w:val="0"/>
                <w:numId w:val="1"/>
              </w:numPr>
              <w:rPr>
                <w:lang w:val="en-GB"/>
              </w:rPr>
            </w:pPr>
            <w:r w:rsidRPr="00653B29">
              <w:rPr>
                <w:sz w:val="16"/>
                <w:szCs w:val="16"/>
                <w:lang w:val="en-GB"/>
              </w:rPr>
              <w:t>Atrial flutter</w:t>
            </w:r>
          </w:p>
        </w:tc>
        <w:tc>
          <w:tcPr>
            <w:tcW w:w="1758" w:type="dxa"/>
          </w:tcPr>
          <w:p w14:paraId="2A3E38B2" w14:textId="77777777" w:rsidR="006F7575" w:rsidRPr="00653B29" w:rsidRDefault="006F7575" w:rsidP="00436588">
            <w:pPr>
              <w:jc w:val="center"/>
              <w:rPr>
                <w:sz w:val="16"/>
                <w:szCs w:val="16"/>
                <w:lang w:val="en-GB"/>
              </w:rPr>
            </w:pPr>
            <w:r w:rsidRPr="00653B29">
              <w:rPr>
                <w:sz w:val="16"/>
                <w:szCs w:val="16"/>
                <w:lang w:val="en-GB"/>
              </w:rPr>
              <w:t>3</w:t>
            </w:r>
          </w:p>
          <w:p w14:paraId="3011CDF2" w14:textId="77777777" w:rsidR="006F7575" w:rsidRPr="00653B29" w:rsidRDefault="006F7575" w:rsidP="00436588">
            <w:pPr>
              <w:jc w:val="center"/>
              <w:rPr>
                <w:sz w:val="16"/>
                <w:szCs w:val="16"/>
                <w:lang w:val="en-GB"/>
              </w:rPr>
            </w:pPr>
            <w:r w:rsidRPr="00653B29">
              <w:rPr>
                <w:sz w:val="16"/>
                <w:szCs w:val="16"/>
                <w:lang w:val="en-GB"/>
              </w:rPr>
              <w:t>2</w:t>
            </w:r>
          </w:p>
          <w:p w14:paraId="3616891E" w14:textId="77777777" w:rsidR="006F7575" w:rsidRPr="00653B29" w:rsidRDefault="006F7575" w:rsidP="00436588">
            <w:pPr>
              <w:jc w:val="center"/>
              <w:rPr>
                <w:sz w:val="16"/>
                <w:szCs w:val="16"/>
                <w:lang w:val="en-GB"/>
              </w:rPr>
            </w:pPr>
            <w:r w:rsidRPr="00653B29">
              <w:rPr>
                <w:sz w:val="16"/>
                <w:szCs w:val="16"/>
                <w:lang w:val="en-GB"/>
              </w:rPr>
              <w:t>1</w:t>
            </w:r>
          </w:p>
        </w:tc>
        <w:tc>
          <w:tcPr>
            <w:tcW w:w="1813" w:type="dxa"/>
            <w:gridSpan w:val="2"/>
          </w:tcPr>
          <w:p w14:paraId="19971353" w14:textId="77777777" w:rsidR="006F7575" w:rsidRPr="00653B29" w:rsidRDefault="006F7575" w:rsidP="00436588">
            <w:pPr>
              <w:jc w:val="center"/>
              <w:rPr>
                <w:sz w:val="16"/>
                <w:szCs w:val="16"/>
                <w:lang w:val="en-GB"/>
              </w:rPr>
            </w:pPr>
            <w:r w:rsidRPr="00653B29">
              <w:rPr>
                <w:sz w:val="16"/>
                <w:szCs w:val="16"/>
                <w:lang w:val="en-GB"/>
              </w:rPr>
              <w:t>1</w:t>
            </w:r>
          </w:p>
          <w:p w14:paraId="53CD1F4F" w14:textId="77777777" w:rsidR="006F7575" w:rsidRPr="00653B29" w:rsidRDefault="006F7575" w:rsidP="00436588">
            <w:pPr>
              <w:jc w:val="center"/>
              <w:rPr>
                <w:sz w:val="16"/>
                <w:szCs w:val="16"/>
                <w:lang w:val="en-GB"/>
              </w:rPr>
            </w:pPr>
            <w:r w:rsidRPr="00653B29">
              <w:rPr>
                <w:sz w:val="16"/>
                <w:szCs w:val="16"/>
                <w:lang w:val="en-GB"/>
              </w:rPr>
              <w:t>0</w:t>
            </w:r>
          </w:p>
          <w:p w14:paraId="7F36F076" w14:textId="77777777" w:rsidR="006F7575" w:rsidRPr="00653B29" w:rsidRDefault="006F7575" w:rsidP="00436588">
            <w:pPr>
              <w:jc w:val="center"/>
              <w:rPr>
                <w:sz w:val="16"/>
                <w:szCs w:val="16"/>
                <w:lang w:val="en-GB"/>
              </w:rPr>
            </w:pPr>
            <w:r w:rsidRPr="00653B29">
              <w:rPr>
                <w:sz w:val="16"/>
                <w:szCs w:val="16"/>
                <w:lang w:val="en-GB"/>
              </w:rPr>
              <w:t>1</w:t>
            </w:r>
          </w:p>
        </w:tc>
        <w:tc>
          <w:tcPr>
            <w:tcW w:w="1642" w:type="dxa"/>
          </w:tcPr>
          <w:p w14:paraId="79B3EC1B" w14:textId="77777777" w:rsidR="006F7575" w:rsidRPr="00653B29" w:rsidRDefault="006F7575" w:rsidP="00436588">
            <w:pPr>
              <w:jc w:val="center"/>
              <w:rPr>
                <w:sz w:val="16"/>
                <w:szCs w:val="16"/>
                <w:lang w:val="en-GB"/>
              </w:rPr>
            </w:pPr>
            <w:r w:rsidRPr="00653B29">
              <w:rPr>
                <w:sz w:val="16"/>
                <w:szCs w:val="16"/>
                <w:lang w:val="en-GB"/>
              </w:rPr>
              <w:t>2</w:t>
            </w:r>
          </w:p>
          <w:p w14:paraId="0675B0C9" w14:textId="77777777" w:rsidR="006F7575" w:rsidRPr="00653B29" w:rsidRDefault="006F7575" w:rsidP="00436588">
            <w:pPr>
              <w:jc w:val="center"/>
              <w:rPr>
                <w:sz w:val="16"/>
                <w:szCs w:val="16"/>
                <w:lang w:val="en-GB"/>
              </w:rPr>
            </w:pPr>
            <w:r w:rsidRPr="00653B29">
              <w:rPr>
                <w:sz w:val="16"/>
                <w:szCs w:val="16"/>
                <w:lang w:val="en-GB"/>
              </w:rPr>
              <w:t>2</w:t>
            </w:r>
          </w:p>
          <w:p w14:paraId="6C0BD4ED" w14:textId="77777777" w:rsidR="006F7575" w:rsidRPr="00653B29" w:rsidRDefault="006F7575" w:rsidP="00436588">
            <w:pPr>
              <w:jc w:val="center"/>
              <w:rPr>
                <w:sz w:val="16"/>
                <w:szCs w:val="16"/>
                <w:lang w:val="en-GB"/>
              </w:rPr>
            </w:pPr>
            <w:r w:rsidRPr="00653B29">
              <w:rPr>
                <w:sz w:val="16"/>
                <w:szCs w:val="16"/>
                <w:lang w:val="en-GB"/>
              </w:rPr>
              <w:t>0</w:t>
            </w:r>
          </w:p>
        </w:tc>
        <w:tc>
          <w:tcPr>
            <w:tcW w:w="2016" w:type="dxa"/>
          </w:tcPr>
          <w:p w14:paraId="1CF473FF" w14:textId="77777777" w:rsidR="006F7575" w:rsidRPr="00653B29" w:rsidRDefault="006F7575" w:rsidP="00436588">
            <w:pPr>
              <w:jc w:val="center"/>
              <w:rPr>
                <w:sz w:val="16"/>
                <w:szCs w:val="16"/>
                <w:lang w:val="en-GB"/>
              </w:rPr>
            </w:pPr>
            <w:r w:rsidRPr="00653B29">
              <w:rPr>
                <w:sz w:val="16"/>
                <w:szCs w:val="16"/>
                <w:lang w:val="en-GB"/>
              </w:rPr>
              <w:t>0</w:t>
            </w:r>
          </w:p>
          <w:p w14:paraId="6912C6B1" w14:textId="77777777" w:rsidR="006F7575" w:rsidRPr="00653B29" w:rsidRDefault="006F7575" w:rsidP="00436588">
            <w:pPr>
              <w:jc w:val="center"/>
              <w:rPr>
                <w:sz w:val="16"/>
                <w:szCs w:val="16"/>
                <w:lang w:val="en-GB"/>
              </w:rPr>
            </w:pPr>
            <w:r w:rsidRPr="00653B29">
              <w:rPr>
                <w:sz w:val="16"/>
                <w:szCs w:val="16"/>
                <w:lang w:val="en-GB"/>
              </w:rPr>
              <w:t>0</w:t>
            </w:r>
          </w:p>
          <w:p w14:paraId="105D51F7" w14:textId="77777777" w:rsidR="006F7575" w:rsidRPr="00653B29" w:rsidRDefault="006F7575" w:rsidP="00436588">
            <w:pPr>
              <w:jc w:val="center"/>
              <w:rPr>
                <w:sz w:val="16"/>
                <w:szCs w:val="16"/>
                <w:lang w:val="en-GB"/>
              </w:rPr>
            </w:pPr>
            <w:r w:rsidRPr="00653B29">
              <w:rPr>
                <w:sz w:val="16"/>
                <w:szCs w:val="16"/>
                <w:lang w:val="en-GB"/>
              </w:rPr>
              <w:t>0</w:t>
            </w:r>
            <w:commentRangeEnd w:id="61"/>
            <w:r w:rsidRPr="00653B29">
              <w:rPr>
                <w:rStyle w:val="Kommentinviite"/>
                <w:lang w:val="en-GB"/>
              </w:rPr>
              <w:commentReference w:id="61"/>
            </w:r>
          </w:p>
        </w:tc>
      </w:tr>
      <w:tr w:rsidR="006F7575" w:rsidRPr="00653B29" w14:paraId="46D42570" w14:textId="77777777" w:rsidTr="00436588">
        <w:tc>
          <w:tcPr>
            <w:tcW w:w="2121" w:type="dxa"/>
          </w:tcPr>
          <w:p w14:paraId="0AAA9391" w14:textId="77777777" w:rsidR="006F7575" w:rsidRPr="00653B29" w:rsidRDefault="006F7575" w:rsidP="00436588">
            <w:pPr>
              <w:rPr>
                <w:lang w:val="en-GB"/>
              </w:rPr>
            </w:pPr>
          </w:p>
        </w:tc>
        <w:tc>
          <w:tcPr>
            <w:tcW w:w="1758" w:type="dxa"/>
          </w:tcPr>
          <w:p w14:paraId="4CEBDCA5" w14:textId="77777777" w:rsidR="006F7575" w:rsidRPr="00653B29" w:rsidRDefault="006F7575" w:rsidP="00436588">
            <w:pPr>
              <w:jc w:val="center"/>
              <w:rPr>
                <w:sz w:val="16"/>
                <w:szCs w:val="16"/>
                <w:lang w:val="en-GB"/>
              </w:rPr>
            </w:pPr>
          </w:p>
        </w:tc>
        <w:tc>
          <w:tcPr>
            <w:tcW w:w="1813" w:type="dxa"/>
            <w:gridSpan w:val="2"/>
          </w:tcPr>
          <w:p w14:paraId="0F7C7DE9" w14:textId="77777777" w:rsidR="006F7575" w:rsidRPr="00653B29" w:rsidRDefault="006F7575" w:rsidP="00436588">
            <w:pPr>
              <w:jc w:val="center"/>
              <w:rPr>
                <w:sz w:val="16"/>
                <w:szCs w:val="16"/>
                <w:lang w:val="en-GB"/>
              </w:rPr>
            </w:pPr>
          </w:p>
        </w:tc>
        <w:tc>
          <w:tcPr>
            <w:tcW w:w="1642" w:type="dxa"/>
          </w:tcPr>
          <w:p w14:paraId="35F71090" w14:textId="77777777" w:rsidR="006F7575" w:rsidRPr="00653B29" w:rsidRDefault="006F7575" w:rsidP="00436588">
            <w:pPr>
              <w:jc w:val="center"/>
              <w:rPr>
                <w:sz w:val="16"/>
                <w:szCs w:val="16"/>
                <w:lang w:val="en-GB"/>
              </w:rPr>
            </w:pPr>
          </w:p>
        </w:tc>
        <w:tc>
          <w:tcPr>
            <w:tcW w:w="2016" w:type="dxa"/>
          </w:tcPr>
          <w:p w14:paraId="624331A3" w14:textId="77777777" w:rsidR="006F7575" w:rsidRPr="00653B29" w:rsidRDefault="006F7575" w:rsidP="00436588">
            <w:pPr>
              <w:jc w:val="center"/>
              <w:rPr>
                <w:sz w:val="16"/>
                <w:szCs w:val="16"/>
                <w:lang w:val="en-GB"/>
              </w:rPr>
            </w:pPr>
          </w:p>
        </w:tc>
      </w:tr>
      <w:tr w:rsidR="006F7575" w:rsidRPr="00653B29" w14:paraId="04E88173" w14:textId="77777777" w:rsidTr="00436588">
        <w:tc>
          <w:tcPr>
            <w:tcW w:w="2121" w:type="dxa"/>
          </w:tcPr>
          <w:p w14:paraId="53AD10C1" w14:textId="77777777" w:rsidR="006F7575" w:rsidRPr="00653B29" w:rsidRDefault="006F7575" w:rsidP="00436588">
            <w:pPr>
              <w:rPr>
                <w:lang w:val="en-GB"/>
              </w:rPr>
            </w:pPr>
          </w:p>
        </w:tc>
        <w:tc>
          <w:tcPr>
            <w:tcW w:w="1758" w:type="dxa"/>
          </w:tcPr>
          <w:p w14:paraId="31689880" w14:textId="77777777" w:rsidR="006F7575" w:rsidRPr="00653B29" w:rsidRDefault="006F7575" w:rsidP="00436588">
            <w:pPr>
              <w:jc w:val="center"/>
              <w:rPr>
                <w:sz w:val="16"/>
                <w:szCs w:val="16"/>
                <w:lang w:val="en-GB"/>
              </w:rPr>
            </w:pPr>
          </w:p>
        </w:tc>
        <w:tc>
          <w:tcPr>
            <w:tcW w:w="1813" w:type="dxa"/>
            <w:gridSpan w:val="2"/>
          </w:tcPr>
          <w:p w14:paraId="14AF3EEB" w14:textId="77777777" w:rsidR="006F7575" w:rsidRPr="00653B29" w:rsidRDefault="006F7575" w:rsidP="00436588">
            <w:pPr>
              <w:jc w:val="center"/>
              <w:rPr>
                <w:sz w:val="16"/>
                <w:szCs w:val="16"/>
                <w:lang w:val="en-GB"/>
              </w:rPr>
            </w:pPr>
          </w:p>
        </w:tc>
        <w:tc>
          <w:tcPr>
            <w:tcW w:w="1642" w:type="dxa"/>
          </w:tcPr>
          <w:p w14:paraId="220D7DBD" w14:textId="77777777" w:rsidR="006F7575" w:rsidRPr="00653B29" w:rsidRDefault="006F7575" w:rsidP="00436588">
            <w:pPr>
              <w:jc w:val="center"/>
              <w:rPr>
                <w:sz w:val="16"/>
                <w:szCs w:val="16"/>
                <w:lang w:val="en-GB"/>
              </w:rPr>
            </w:pPr>
          </w:p>
        </w:tc>
        <w:tc>
          <w:tcPr>
            <w:tcW w:w="2016" w:type="dxa"/>
          </w:tcPr>
          <w:p w14:paraId="7A9D7042" w14:textId="77777777" w:rsidR="006F7575" w:rsidRPr="00653B29" w:rsidRDefault="006F7575" w:rsidP="00436588">
            <w:pPr>
              <w:jc w:val="center"/>
              <w:rPr>
                <w:sz w:val="16"/>
                <w:szCs w:val="16"/>
                <w:lang w:val="en-GB"/>
              </w:rPr>
            </w:pPr>
          </w:p>
        </w:tc>
      </w:tr>
      <w:tr w:rsidR="006F7575" w:rsidRPr="00653B29" w14:paraId="58F77D07" w14:textId="77777777" w:rsidTr="00436588">
        <w:tc>
          <w:tcPr>
            <w:tcW w:w="2121" w:type="dxa"/>
          </w:tcPr>
          <w:p w14:paraId="66BADACA" w14:textId="77777777" w:rsidR="006F7575" w:rsidRPr="00653B29" w:rsidRDefault="006F7575" w:rsidP="00436588">
            <w:pPr>
              <w:rPr>
                <w:lang w:val="en-GB"/>
              </w:rPr>
            </w:pPr>
          </w:p>
        </w:tc>
        <w:tc>
          <w:tcPr>
            <w:tcW w:w="1758" w:type="dxa"/>
          </w:tcPr>
          <w:p w14:paraId="29685233" w14:textId="77777777" w:rsidR="006F7575" w:rsidRPr="00653B29" w:rsidRDefault="006F7575" w:rsidP="00436588">
            <w:pPr>
              <w:jc w:val="center"/>
              <w:rPr>
                <w:sz w:val="16"/>
                <w:szCs w:val="16"/>
                <w:lang w:val="en-GB"/>
              </w:rPr>
            </w:pPr>
          </w:p>
        </w:tc>
        <w:tc>
          <w:tcPr>
            <w:tcW w:w="1813" w:type="dxa"/>
            <w:gridSpan w:val="2"/>
          </w:tcPr>
          <w:p w14:paraId="222627B3" w14:textId="77777777" w:rsidR="006F7575" w:rsidRPr="00653B29" w:rsidRDefault="006F7575" w:rsidP="00436588">
            <w:pPr>
              <w:jc w:val="center"/>
              <w:rPr>
                <w:sz w:val="16"/>
                <w:szCs w:val="16"/>
                <w:lang w:val="en-GB"/>
              </w:rPr>
            </w:pPr>
          </w:p>
        </w:tc>
        <w:tc>
          <w:tcPr>
            <w:tcW w:w="1642" w:type="dxa"/>
          </w:tcPr>
          <w:p w14:paraId="2CCDC835" w14:textId="77777777" w:rsidR="006F7575" w:rsidRPr="00653B29" w:rsidRDefault="006F7575" w:rsidP="00436588">
            <w:pPr>
              <w:jc w:val="center"/>
              <w:rPr>
                <w:sz w:val="16"/>
                <w:szCs w:val="16"/>
                <w:lang w:val="en-GB"/>
              </w:rPr>
            </w:pPr>
          </w:p>
        </w:tc>
        <w:tc>
          <w:tcPr>
            <w:tcW w:w="2016" w:type="dxa"/>
          </w:tcPr>
          <w:p w14:paraId="6D866C59" w14:textId="77777777" w:rsidR="006F7575" w:rsidRPr="00653B29" w:rsidRDefault="006F7575" w:rsidP="00436588">
            <w:pPr>
              <w:jc w:val="center"/>
              <w:rPr>
                <w:sz w:val="16"/>
                <w:szCs w:val="16"/>
                <w:lang w:val="en-GB"/>
              </w:rPr>
            </w:pPr>
          </w:p>
        </w:tc>
      </w:tr>
      <w:tr w:rsidR="006F7575" w:rsidRPr="00653B29" w14:paraId="53F93B4B" w14:textId="77777777" w:rsidTr="00436588">
        <w:tc>
          <w:tcPr>
            <w:tcW w:w="2121" w:type="dxa"/>
          </w:tcPr>
          <w:p w14:paraId="2984688F" w14:textId="77777777" w:rsidR="006F7575" w:rsidRPr="00653B29" w:rsidRDefault="006F7575" w:rsidP="00436588">
            <w:pPr>
              <w:rPr>
                <w:lang w:val="en-GB"/>
              </w:rPr>
            </w:pPr>
          </w:p>
        </w:tc>
        <w:tc>
          <w:tcPr>
            <w:tcW w:w="1758" w:type="dxa"/>
          </w:tcPr>
          <w:p w14:paraId="57AC08D2" w14:textId="77777777" w:rsidR="006F7575" w:rsidRPr="00653B29" w:rsidRDefault="006F7575" w:rsidP="00436588">
            <w:pPr>
              <w:jc w:val="center"/>
              <w:rPr>
                <w:sz w:val="16"/>
                <w:szCs w:val="16"/>
                <w:lang w:val="en-GB"/>
              </w:rPr>
            </w:pPr>
          </w:p>
        </w:tc>
        <w:tc>
          <w:tcPr>
            <w:tcW w:w="1813" w:type="dxa"/>
            <w:gridSpan w:val="2"/>
          </w:tcPr>
          <w:p w14:paraId="7DDB3614" w14:textId="77777777" w:rsidR="006F7575" w:rsidRPr="00653B29" w:rsidRDefault="006F7575" w:rsidP="00436588">
            <w:pPr>
              <w:jc w:val="center"/>
              <w:rPr>
                <w:sz w:val="16"/>
                <w:szCs w:val="16"/>
                <w:lang w:val="en-GB"/>
              </w:rPr>
            </w:pPr>
          </w:p>
        </w:tc>
        <w:tc>
          <w:tcPr>
            <w:tcW w:w="1642" w:type="dxa"/>
          </w:tcPr>
          <w:p w14:paraId="5DB69CA4" w14:textId="77777777" w:rsidR="006F7575" w:rsidRPr="00653B29" w:rsidRDefault="006F7575" w:rsidP="00436588">
            <w:pPr>
              <w:jc w:val="center"/>
              <w:rPr>
                <w:sz w:val="16"/>
                <w:szCs w:val="16"/>
                <w:lang w:val="en-GB"/>
              </w:rPr>
            </w:pPr>
          </w:p>
        </w:tc>
        <w:tc>
          <w:tcPr>
            <w:tcW w:w="2016" w:type="dxa"/>
          </w:tcPr>
          <w:p w14:paraId="41A437B0" w14:textId="77777777" w:rsidR="006F7575" w:rsidRPr="00653B29" w:rsidRDefault="006F7575" w:rsidP="00436588">
            <w:pPr>
              <w:jc w:val="center"/>
              <w:rPr>
                <w:sz w:val="16"/>
                <w:szCs w:val="16"/>
                <w:lang w:val="en-GB"/>
              </w:rPr>
            </w:pPr>
          </w:p>
        </w:tc>
      </w:tr>
      <w:tr w:rsidR="006F7575" w:rsidRPr="00653B29" w14:paraId="1BC19703" w14:textId="77777777" w:rsidTr="00436588">
        <w:tc>
          <w:tcPr>
            <w:tcW w:w="2121" w:type="dxa"/>
          </w:tcPr>
          <w:p w14:paraId="1B649CB7" w14:textId="77777777" w:rsidR="006F7575" w:rsidRPr="00653B29" w:rsidRDefault="006F7575" w:rsidP="00436588">
            <w:pPr>
              <w:rPr>
                <w:lang w:val="en-GB"/>
              </w:rPr>
            </w:pPr>
            <w:commentRangeStart w:id="62"/>
            <w:r w:rsidRPr="00653B29">
              <w:rPr>
                <w:sz w:val="16"/>
                <w:szCs w:val="16"/>
                <w:lang w:val="en-GB"/>
              </w:rPr>
              <w:t>Total number</w:t>
            </w:r>
          </w:p>
        </w:tc>
        <w:tc>
          <w:tcPr>
            <w:tcW w:w="1758" w:type="dxa"/>
          </w:tcPr>
          <w:p w14:paraId="7DDCE49B" w14:textId="77777777" w:rsidR="006F7575" w:rsidRPr="00653B29" w:rsidRDefault="006F7575" w:rsidP="00436588">
            <w:pPr>
              <w:jc w:val="center"/>
              <w:rPr>
                <w:sz w:val="16"/>
                <w:szCs w:val="16"/>
                <w:lang w:val="en-GB"/>
              </w:rPr>
            </w:pPr>
            <w:r w:rsidRPr="00653B29">
              <w:rPr>
                <w:sz w:val="16"/>
                <w:szCs w:val="16"/>
                <w:lang w:val="en-GB"/>
              </w:rPr>
              <w:t>3</w:t>
            </w:r>
          </w:p>
        </w:tc>
        <w:tc>
          <w:tcPr>
            <w:tcW w:w="1813" w:type="dxa"/>
            <w:gridSpan w:val="2"/>
          </w:tcPr>
          <w:p w14:paraId="1E3AFD21" w14:textId="77777777" w:rsidR="006F7575" w:rsidRPr="00653B29" w:rsidRDefault="006F7575" w:rsidP="00436588">
            <w:pPr>
              <w:jc w:val="center"/>
              <w:rPr>
                <w:sz w:val="16"/>
                <w:szCs w:val="16"/>
                <w:lang w:val="en-GB"/>
              </w:rPr>
            </w:pPr>
            <w:r w:rsidRPr="00653B29">
              <w:rPr>
                <w:sz w:val="16"/>
                <w:szCs w:val="16"/>
                <w:lang w:val="en-GB"/>
              </w:rPr>
              <w:t>2</w:t>
            </w:r>
          </w:p>
        </w:tc>
        <w:tc>
          <w:tcPr>
            <w:tcW w:w="1642" w:type="dxa"/>
          </w:tcPr>
          <w:p w14:paraId="580DA757" w14:textId="77777777" w:rsidR="006F7575" w:rsidRPr="00653B29" w:rsidRDefault="006F7575" w:rsidP="00436588">
            <w:pPr>
              <w:jc w:val="center"/>
              <w:rPr>
                <w:sz w:val="16"/>
                <w:szCs w:val="16"/>
                <w:lang w:val="en-GB"/>
              </w:rPr>
            </w:pPr>
            <w:r w:rsidRPr="00653B29">
              <w:rPr>
                <w:sz w:val="16"/>
                <w:szCs w:val="16"/>
                <w:lang w:val="en-GB"/>
              </w:rPr>
              <w:t>2</w:t>
            </w:r>
          </w:p>
        </w:tc>
        <w:tc>
          <w:tcPr>
            <w:tcW w:w="2016" w:type="dxa"/>
          </w:tcPr>
          <w:p w14:paraId="1ED991F8" w14:textId="77777777" w:rsidR="006F7575" w:rsidRPr="00653B29" w:rsidRDefault="006F7575" w:rsidP="00436588">
            <w:pPr>
              <w:jc w:val="center"/>
              <w:rPr>
                <w:sz w:val="16"/>
                <w:szCs w:val="16"/>
                <w:lang w:val="en-GB"/>
              </w:rPr>
            </w:pPr>
            <w:r w:rsidRPr="00653B29">
              <w:rPr>
                <w:sz w:val="16"/>
                <w:szCs w:val="16"/>
                <w:lang w:val="en-GB"/>
              </w:rPr>
              <w:t>0</w:t>
            </w:r>
            <w:commentRangeEnd w:id="62"/>
            <w:r w:rsidRPr="00653B29">
              <w:rPr>
                <w:rStyle w:val="Kommentinviite"/>
              </w:rPr>
              <w:commentReference w:id="62"/>
            </w:r>
          </w:p>
        </w:tc>
      </w:tr>
    </w:tbl>
    <w:p w14:paraId="76BB3530" w14:textId="77777777" w:rsidR="00EA1BD6" w:rsidRPr="00653B29" w:rsidRDefault="00EA1BD6" w:rsidP="00EA1BD6">
      <w:pPr>
        <w:pStyle w:val="Luettelokappale"/>
        <w:ind w:left="1080"/>
        <w:rPr>
          <w:iCs/>
        </w:rPr>
      </w:pPr>
    </w:p>
    <w:p w14:paraId="37CE07AD" w14:textId="296A0035" w:rsidR="004D7AE2" w:rsidRPr="008D060F" w:rsidRDefault="004D7AE2" w:rsidP="004D7AE2">
      <w:pPr>
        <w:pStyle w:val="Luettelokappale"/>
        <w:numPr>
          <w:ilvl w:val="0"/>
          <w:numId w:val="12"/>
        </w:numPr>
        <w:rPr>
          <w:iCs/>
          <w:u w:val="single"/>
          <w:lang w:val="en-GB"/>
        </w:rPr>
      </w:pPr>
      <w:r w:rsidRPr="00653B29">
        <w:rPr>
          <w:iCs/>
          <w:u w:val="single"/>
        </w:rPr>
        <w:t>List of subjects who died during the reporting period</w:t>
      </w:r>
      <w:r w:rsidR="00EA1BD6" w:rsidRPr="00653B29">
        <w:rPr>
          <w:iCs/>
          <w:u w:val="single"/>
        </w:rPr>
        <w:t xml:space="preserve">: </w:t>
      </w:r>
    </w:p>
    <w:p w14:paraId="5B331643" w14:textId="1CC16C80" w:rsidR="008D060F" w:rsidRPr="0026547E" w:rsidRDefault="008D060F" w:rsidP="00D84EF9">
      <w:pPr>
        <w:pStyle w:val="Luettelokappale"/>
        <w:ind w:left="1080"/>
        <w:rPr>
          <w:i/>
          <w:color w:val="D99594" w:themeColor="accent2" w:themeTint="99"/>
          <w:lang w:val="en-GB"/>
        </w:rPr>
      </w:pPr>
      <w:r w:rsidRPr="0026547E">
        <w:rPr>
          <w:i/>
          <w:color w:val="D99594" w:themeColor="accent2" w:themeTint="99"/>
        </w:rPr>
        <w:t xml:space="preserve">&lt;As a minimum </w:t>
      </w:r>
      <w:r w:rsidR="00A842E0">
        <w:rPr>
          <w:i/>
          <w:color w:val="D99594" w:themeColor="accent2" w:themeTint="99"/>
        </w:rPr>
        <w:t xml:space="preserve">the </w:t>
      </w:r>
      <w:r w:rsidR="00D84EF9" w:rsidRPr="0026547E">
        <w:rPr>
          <w:i/>
          <w:color w:val="D99594" w:themeColor="accent2" w:themeTint="99"/>
        </w:rPr>
        <w:t>case number, assigned treatment (could still be blinded),</w:t>
      </w:r>
      <w:r w:rsidR="00654FFE">
        <w:rPr>
          <w:i/>
          <w:color w:val="D99594" w:themeColor="accent2" w:themeTint="99"/>
        </w:rPr>
        <w:t xml:space="preserve"> causality to the study drug</w:t>
      </w:r>
      <w:r w:rsidR="00393F46">
        <w:rPr>
          <w:i/>
          <w:color w:val="D99594" w:themeColor="accent2" w:themeTint="99"/>
        </w:rPr>
        <w:t xml:space="preserve">, and </w:t>
      </w:r>
      <w:r w:rsidR="00D84EF9" w:rsidRPr="0026547E">
        <w:rPr>
          <w:i/>
          <w:color w:val="D99594" w:themeColor="accent2" w:themeTint="99"/>
        </w:rPr>
        <w:t>cause of death</w:t>
      </w:r>
      <w:r w:rsidR="00597203">
        <w:rPr>
          <w:i/>
          <w:color w:val="D99594" w:themeColor="accent2" w:themeTint="99"/>
        </w:rPr>
        <w:t>,</w:t>
      </w:r>
      <w:r w:rsidR="00654FFE">
        <w:rPr>
          <w:i/>
          <w:color w:val="D99594" w:themeColor="accent2" w:themeTint="99"/>
        </w:rPr>
        <w:t xml:space="preserve"> </w:t>
      </w:r>
      <w:r w:rsidR="00D854CB" w:rsidRPr="0026547E">
        <w:rPr>
          <w:i/>
          <w:color w:val="D99594" w:themeColor="accent2" w:themeTint="99"/>
        </w:rPr>
        <w:t>with the appropriate PT term,</w:t>
      </w:r>
      <w:r w:rsidR="00654FFE">
        <w:rPr>
          <w:i/>
          <w:color w:val="D99594" w:themeColor="accent2" w:themeTint="99"/>
        </w:rPr>
        <w:t xml:space="preserve"> </w:t>
      </w:r>
      <w:r w:rsidR="00D84EF9" w:rsidRPr="0026547E">
        <w:rPr>
          <w:i/>
          <w:color w:val="D99594" w:themeColor="accent2" w:themeTint="99"/>
        </w:rPr>
        <w:t>of each subject must be provided. Any safety issues identified from a review of these deaths should be addressed in Section 18.&gt;</w:t>
      </w:r>
    </w:p>
    <w:p w14:paraId="6BF5A2B4" w14:textId="77777777" w:rsidR="00EA1BD6" w:rsidRPr="002276FB" w:rsidRDefault="00EA1BD6" w:rsidP="00EA1BD6">
      <w:pPr>
        <w:pStyle w:val="Luettelokappale"/>
        <w:ind w:left="1080"/>
        <w:rPr>
          <w:iCs/>
          <w:u w:val="single"/>
          <w:lang w:val="en-GB"/>
        </w:rPr>
      </w:pPr>
    </w:p>
    <w:tbl>
      <w:tblPr>
        <w:tblStyle w:val="TaulukkoRuudukko"/>
        <w:tblW w:w="0" w:type="auto"/>
        <w:tblLook w:val="04A0" w:firstRow="1" w:lastRow="0" w:firstColumn="1" w:lastColumn="0" w:noHBand="0" w:noVBand="1"/>
      </w:tblPr>
      <w:tblGrid>
        <w:gridCol w:w="1334"/>
        <w:gridCol w:w="1649"/>
        <w:gridCol w:w="2132"/>
        <w:gridCol w:w="1989"/>
        <w:gridCol w:w="2246"/>
      </w:tblGrid>
      <w:tr w:rsidR="006E12F3" w:rsidRPr="002276FB" w14:paraId="35D5A8E6" w14:textId="77777777" w:rsidTr="006E12F3">
        <w:tc>
          <w:tcPr>
            <w:tcW w:w="1354" w:type="dxa"/>
          </w:tcPr>
          <w:p w14:paraId="47AC3EEB" w14:textId="77777777" w:rsidR="006E12F3" w:rsidRPr="002276FB" w:rsidRDefault="006E12F3" w:rsidP="00436588">
            <w:pPr>
              <w:autoSpaceDE w:val="0"/>
              <w:autoSpaceDN w:val="0"/>
              <w:adjustRightInd w:val="0"/>
              <w:rPr>
                <w:rFonts w:cs="Segoe UI"/>
                <w:b/>
                <w:color w:val="000000"/>
                <w:sz w:val="16"/>
                <w:szCs w:val="16"/>
                <w:lang w:val="en-GB"/>
              </w:rPr>
            </w:pPr>
            <w:r w:rsidRPr="002276FB">
              <w:rPr>
                <w:rFonts w:cs="Segoe UI"/>
                <w:b/>
                <w:color w:val="000000"/>
                <w:sz w:val="16"/>
                <w:szCs w:val="16"/>
                <w:lang w:val="en-GB"/>
              </w:rPr>
              <w:t xml:space="preserve">Case ID/ </w:t>
            </w:r>
          </w:p>
          <w:p w14:paraId="35F69F27" w14:textId="77777777" w:rsidR="006E12F3" w:rsidRPr="002276FB" w:rsidRDefault="006E12F3" w:rsidP="00436588">
            <w:pPr>
              <w:rPr>
                <w:sz w:val="16"/>
                <w:szCs w:val="16"/>
                <w:lang w:val="en-GB"/>
              </w:rPr>
            </w:pPr>
            <w:r w:rsidRPr="002276FB">
              <w:rPr>
                <w:rFonts w:cs="Segoe UI"/>
                <w:b/>
                <w:color w:val="000000"/>
                <w:sz w:val="16"/>
                <w:szCs w:val="16"/>
                <w:lang w:val="en-GB"/>
              </w:rPr>
              <w:t>Subject number*</w:t>
            </w:r>
          </w:p>
        </w:tc>
        <w:tc>
          <w:tcPr>
            <w:tcW w:w="1682" w:type="dxa"/>
          </w:tcPr>
          <w:p w14:paraId="51447694" w14:textId="64D1FE99" w:rsidR="006E12F3" w:rsidRPr="002276FB" w:rsidRDefault="00F64468" w:rsidP="00436588">
            <w:pPr>
              <w:rPr>
                <w:sz w:val="16"/>
                <w:szCs w:val="16"/>
                <w:lang w:val="en-GB"/>
              </w:rPr>
            </w:pPr>
            <w:r>
              <w:rPr>
                <w:sz w:val="16"/>
                <w:szCs w:val="16"/>
                <w:lang w:val="en-GB"/>
              </w:rPr>
              <w:t>Assigned t</w:t>
            </w:r>
            <w:r w:rsidR="006E12F3" w:rsidRPr="002276FB">
              <w:rPr>
                <w:sz w:val="16"/>
                <w:szCs w:val="16"/>
                <w:lang w:val="en-GB"/>
              </w:rPr>
              <w:t>reatment</w:t>
            </w:r>
          </w:p>
        </w:tc>
        <w:tc>
          <w:tcPr>
            <w:tcW w:w="2189" w:type="dxa"/>
          </w:tcPr>
          <w:p w14:paraId="4A85FCAF" w14:textId="3622CAB2" w:rsidR="006E12F3" w:rsidRPr="002276FB" w:rsidRDefault="00F47B3C" w:rsidP="00436588">
            <w:pPr>
              <w:rPr>
                <w:sz w:val="16"/>
                <w:szCs w:val="16"/>
                <w:lang w:val="en-GB"/>
              </w:rPr>
            </w:pPr>
            <w:r>
              <w:rPr>
                <w:sz w:val="16"/>
                <w:szCs w:val="16"/>
                <w:lang w:val="en-GB"/>
              </w:rPr>
              <w:t>Causality to study drug</w:t>
            </w:r>
          </w:p>
        </w:tc>
        <w:tc>
          <w:tcPr>
            <w:tcW w:w="2049" w:type="dxa"/>
          </w:tcPr>
          <w:p w14:paraId="400B9268" w14:textId="7A9B629B" w:rsidR="006E12F3" w:rsidRPr="002276FB" w:rsidRDefault="00F47B3C" w:rsidP="00436588">
            <w:pPr>
              <w:rPr>
                <w:sz w:val="16"/>
                <w:szCs w:val="16"/>
                <w:lang w:val="en-GB"/>
              </w:rPr>
            </w:pPr>
            <w:r w:rsidRPr="002276FB">
              <w:rPr>
                <w:sz w:val="16"/>
                <w:szCs w:val="16"/>
                <w:lang w:val="en-GB"/>
              </w:rPr>
              <w:t>Cause of death (PT term)</w:t>
            </w:r>
          </w:p>
        </w:tc>
        <w:tc>
          <w:tcPr>
            <w:tcW w:w="2302" w:type="dxa"/>
          </w:tcPr>
          <w:p w14:paraId="113B9527" w14:textId="49A0FCB5" w:rsidR="006E12F3" w:rsidRPr="002276FB" w:rsidRDefault="006E12F3" w:rsidP="00436588">
            <w:pPr>
              <w:rPr>
                <w:sz w:val="16"/>
                <w:szCs w:val="16"/>
                <w:lang w:val="en-GB"/>
              </w:rPr>
            </w:pPr>
            <w:r w:rsidRPr="002276FB">
              <w:rPr>
                <w:sz w:val="16"/>
                <w:szCs w:val="16"/>
                <w:lang w:val="en-GB"/>
              </w:rPr>
              <w:t>Comments</w:t>
            </w:r>
          </w:p>
        </w:tc>
      </w:tr>
      <w:tr w:rsidR="006E12F3" w:rsidRPr="002276FB" w14:paraId="3822E470" w14:textId="77777777" w:rsidTr="006E12F3">
        <w:tc>
          <w:tcPr>
            <w:tcW w:w="1354" w:type="dxa"/>
          </w:tcPr>
          <w:p w14:paraId="60BD4E14" w14:textId="77777777" w:rsidR="006E12F3" w:rsidRPr="002276FB" w:rsidRDefault="006E12F3" w:rsidP="00436588">
            <w:pPr>
              <w:autoSpaceDE w:val="0"/>
              <w:autoSpaceDN w:val="0"/>
              <w:adjustRightInd w:val="0"/>
              <w:rPr>
                <w:rFonts w:cs="Segoe UI"/>
                <w:b/>
                <w:color w:val="000000"/>
                <w:sz w:val="16"/>
                <w:szCs w:val="16"/>
                <w:lang w:val="en-GB"/>
              </w:rPr>
            </w:pPr>
          </w:p>
        </w:tc>
        <w:tc>
          <w:tcPr>
            <w:tcW w:w="1682" w:type="dxa"/>
          </w:tcPr>
          <w:p w14:paraId="59693CE4" w14:textId="77777777" w:rsidR="006E12F3" w:rsidRPr="002276FB" w:rsidRDefault="006E12F3" w:rsidP="00436588">
            <w:pPr>
              <w:rPr>
                <w:lang w:val="en-GB"/>
              </w:rPr>
            </w:pPr>
          </w:p>
        </w:tc>
        <w:tc>
          <w:tcPr>
            <w:tcW w:w="2189" w:type="dxa"/>
          </w:tcPr>
          <w:p w14:paraId="3551D8AF" w14:textId="77777777" w:rsidR="006E12F3" w:rsidRPr="002276FB" w:rsidRDefault="006E12F3" w:rsidP="00436588">
            <w:pPr>
              <w:rPr>
                <w:lang w:val="en-GB"/>
              </w:rPr>
            </w:pPr>
          </w:p>
        </w:tc>
        <w:tc>
          <w:tcPr>
            <w:tcW w:w="2049" w:type="dxa"/>
          </w:tcPr>
          <w:p w14:paraId="38EC63F7" w14:textId="77777777" w:rsidR="006E12F3" w:rsidRPr="002276FB" w:rsidRDefault="006E12F3" w:rsidP="00436588">
            <w:pPr>
              <w:rPr>
                <w:lang w:val="en-GB"/>
              </w:rPr>
            </w:pPr>
          </w:p>
        </w:tc>
        <w:tc>
          <w:tcPr>
            <w:tcW w:w="2302" w:type="dxa"/>
          </w:tcPr>
          <w:p w14:paraId="1FF293F5" w14:textId="07072A3F" w:rsidR="006E12F3" w:rsidRPr="002276FB" w:rsidRDefault="006E12F3" w:rsidP="00436588">
            <w:pPr>
              <w:rPr>
                <w:lang w:val="en-GB"/>
              </w:rPr>
            </w:pPr>
          </w:p>
        </w:tc>
      </w:tr>
      <w:tr w:rsidR="006E12F3" w:rsidRPr="002276FB" w14:paraId="423A14D5" w14:textId="77777777" w:rsidTr="00636C29">
        <w:tc>
          <w:tcPr>
            <w:tcW w:w="9576" w:type="dxa"/>
            <w:gridSpan w:val="5"/>
          </w:tcPr>
          <w:p w14:paraId="0AD5AC27" w14:textId="73E0DCED" w:rsidR="006E12F3" w:rsidRPr="006E12F3" w:rsidRDefault="006E12F3" w:rsidP="006E12F3">
            <w:pPr>
              <w:autoSpaceDE w:val="0"/>
              <w:autoSpaceDN w:val="0"/>
              <w:adjustRightInd w:val="0"/>
              <w:rPr>
                <w:rFonts w:cs="Segoe UI"/>
                <w:color w:val="000000"/>
                <w:sz w:val="16"/>
                <w:szCs w:val="16"/>
                <w:lang w:val="en-GB"/>
              </w:rPr>
            </w:pPr>
            <w:r w:rsidRPr="0015768B">
              <w:rPr>
                <w:rFonts w:cs="Segoe UI"/>
                <w:color w:val="000000"/>
                <w:sz w:val="16"/>
                <w:szCs w:val="16"/>
                <w:lang w:val="en-GB"/>
              </w:rPr>
              <w:t>*Study/</w:t>
            </w:r>
            <w:proofErr w:type="spellStart"/>
            <w:r w:rsidRPr="0015768B">
              <w:rPr>
                <w:rFonts w:cs="Segoe UI"/>
                <w:color w:val="000000"/>
                <w:sz w:val="16"/>
                <w:szCs w:val="16"/>
                <w:lang w:val="en-GB"/>
              </w:rPr>
              <w:t>Center</w:t>
            </w:r>
            <w:proofErr w:type="spellEnd"/>
            <w:r w:rsidRPr="0015768B">
              <w:rPr>
                <w:rFonts w:cs="Segoe UI"/>
                <w:color w:val="000000"/>
                <w:sz w:val="16"/>
                <w:szCs w:val="16"/>
                <w:lang w:val="en-GB"/>
              </w:rPr>
              <w:t>/subject</w:t>
            </w:r>
          </w:p>
        </w:tc>
      </w:tr>
    </w:tbl>
    <w:p w14:paraId="0A0B97B2" w14:textId="77777777" w:rsidR="00D84EF9" w:rsidRPr="002276FB" w:rsidRDefault="00D84EF9" w:rsidP="00EA1BD6">
      <w:pPr>
        <w:pStyle w:val="Luettelokappale"/>
        <w:ind w:left="1080"/>
        <w:rPr>
          <w:iCs/>
          <w:u w:val="single"/>
          <w:lang w:val="en-GB"/>
        </w:rPr>
      </w:pPr>
    </w:p>
    <w:p w14:paraId="4F9F962E" w14:textId="4C33FDD3" w:rsidR="004D7AE2" w:rsidRPr="002276FB" w:rsidRDefault="004D7AE2" w:rsidP="004D7AE2">
      <w:pPr>
        <w:pStyle w:val="Luettelokappale"/>
        <w:numPr>
          <w:ilvl w:val="0"/>
          <w:numId w:val="12"/>
        </w:numPr>
        <w:rPr>
          <w:iCs/>
          <w:u w:val="single"/>
          <w:lang w:val="en-GB"/>
        </w:rPr>
      </w:pPr>
      <w:r w:rsidRPr="002276FB">
        <w:rPr>
          <w:iCs/>
          <w:u w:val="single"/>
        </w:rPr>
        <w:t>List of subjects who dropped out of clinical trials in association with an adverse event during the reporting period</w:t>
      </w:r>
      <w:r w:rsidR="00EA1BD6" w:rsidRPr="002276FB">
        <w:rPr>
          <w:iCs/>
          <w:u w:val="single"/>
        </w:rPr>
        <w:t xml:space="preserve">: </w:t>
      </w:r>
    </w:p>
    <w:p w14:paraId="63F84018" w14:textId="2909AD0B" w:rsidR="00F049D4" w:rsidRPr="00A842E0" w:rsidRDefault="00F049D4" w:rsidP="00F049D4">
      <w:pPr>
        <w:pStyle w:val="Luettelokappale"/>
        <w:ind w:left="1080"/>
        <w:rPr>
          <w:i/>
          <w:color w:val="D99594" w:themeColor="accent2" w:themeTint="99"/>
          <w:lang w:val="en-GB"/>
        </w:rPr>
      </w:pPr>
      <w:r w:rsidRPr="00A842E0">
        <w:rPr>
          <w:i/>
          <w:color w:val="D99594" w:themeColor="accent2" w:themeTint="99"/>
        </w:rPr>
        <w:lastRenderedPageBreak/>
        <w:t>&lt;</w:t>
      </w:r>
      <w:r w:rsidR="007F55EB" w:rsidRPr="00A842E0">
        <w:rPr>
          <w:i/>
          <w:color w:val="D99594" w:themeColor="accent2" w:themeTint="99"/>
        </w:rPr>
        <w:t>A</w:t>
      </w:r>
      <w:r w:rsidRPr="00A842E0">
        <w:rPr>
          <w:i/>
          <w:color w:val="D99594" w:themeColor="accent2" w:themeTint="99"/>
        </w:rPr>
        <w:t xml:space="preserve">ll subjects who dropped out of </w:t>
      </w:r>
      <w:r w:rsidR="007F55EB" w:rsidRPr="00A842E0">
        <w:rPr>
          <w:i/>
          <w:color w:val="D99594" w:themeColor="accent2" w:themeTint="99"/>
        </w:rPr>
        <w:t xml:space="preserve">the </w:t>
      </w:r>
      <w:r w:rsidRPr="00A842E0">
        <w:rPr>
          <w:i/>
          <w:color w:val="D99594" w:themeColor="accent2" w:themeTint="99"/>
        </w:rPr>
        <w:t xml:space="preserve">clinical trial in association with </w:t>
      </w:r>
      <w:r w:rsidR="00790748" w:rsidRPr="00A842E0">
        <w:rPr>
          <w:i/>
          <w:color w:val="D99594" w:themeColor="accent2" w:themeTint="99"/>
        </w:rPr>
        <w:t>adverse events</w:t>
      </w:r>
      <w:r w:rsidRPr="00A842E0">
        <w:rPr>
          <w:i/>
          <w:color w:val="D99594" w:themeColor="accent2" w:themeTint="99"/>
        </w:rPr>
        <w:t xml:space="preserve"> during the reporting period, whether or not thought to be drug-related</w:t>
      </w:r>
      <w:r w:rsidR="00307DEA">
        <w:rPr>
          <w:i/>
          <w:color w:val="D99594" w:themeColor="accent2" w:themeTint="99"/>
        </w:rPr>
        <w:t>,</w:t>
      </w:r>
      <w:r w:rsidR="007F55EB" w:rsidRPr="00A842E0">
        <w:rPr>
          <w:i/>
          <w:color w:val="D99594" w:themeColor="accent2" w:themeTint="99"/>
        </w:rPr>
        <w:t xml:space="preserve"> should be listed</w:t>
      </w:r>
      <w:r w:rsidRPr="00A842E0">
        <w:rPr>
          <w:i/>
          <w:color w:val="D99594" w:themeColor="accent2" w:themeTint="99"/>
        </w:rPr>
        <w:t>. Any safety issues identified from a review of these withdrawals should be addressed in Section 18 of the ASR as appropriate</w:t>
      </w:r>
      <w:r w:rsidR="00A842E0">
        <w:rPr>
          <w:i/>
          <w:color w:val="D99594" w:themeColor="accent2" w:themeTint="99"/>
        </w:rPr>
        <w:t>.</w:t>
      </w:r>
      <w:r w:rsidRPr="00A842E0">
        <w:rPr>
          <w:i/>
          <w:color w:val="D99594" w:themeColor="accent2" w:themeTint="99"/>
        </w:rPr>
        <w:t>&gt;</w:t>
      </w:r>
    </w:p>
    <w:tbl>
      <w:tblPr>
        <w:tblStyle w:val="TaulukkoRuudukko"/>
        <w:tblW w:w="0" w:type="auto"/>
        <w:tblLook w:val="04A0" w:firstRow="1" w:lastRow="0" w:firstColumn="1" w:lastColumn="0" w:noHBand="0" w:noVBand="1"/>
      </w:tblPr>
      <w:tblGrid>
        <w:gridCol w:w="1329"/>
        <w:gridCol w:w="1643"/>
        <w:gridCol w:w="1983"/>
        <w:gridCol w:w="2161"/>
        <w:gridCol w:w="2234"/>
      </w:tblGrid>
      <w:tr w:rsidR="0090552F" w14:paraId="17455DD3" w14:textId="77777777" w:rsidTr="0090552F">
        <w:tc>
          <w:tcPr>
            <w:tcW w:w="1350" w:type="dxa"/>
          </w:tcPr>
          <w:p w14:paraId="308A0598" w14:textId="77777777" w:rsidR="0090552F" w:rsidRPr="00D854CB" w:rsidRDefault="0090552F" w:rsidP="00436588">
            <w:pPr>
              <w:autoSpaceDE w:val="0"/>
              <w:autoSpaceDN w:val="0"/>
              <w:adjustRightInd w:val="0"/>
              <w:rPr>
                <w:rFonts w:cs="Segoe UI"/>
                <w:b/>
                <w:color w:val="000000"/>
                <w:sz w:val="16"/>
                <w:szCs w:val="16"/>
                <w:lang w:val="en-GB"/>
              </w:rPr>
            </w:pPr>
            <w:r w:rsidRPr="00D854CB">
              <w:rPr>
                <w:rFonts w:cs="Segoe UI"/>
                <w:b/>
                <w:color w:val="000000"/>
                <w:sz w:val="16"/>
                <w:szCs w:val="16"/>
                <w:lang w:val="en-GB"/>
              </w:rPr>
              <w:t xml:space="preserve">Case ID/ </w:t>
            </w:r>
          </w:p>
          <w:p w14:paraId="3A05688B" w14:textId="77777777" w:rsidR="0090552F" w:rsidRPr="00D854CB" w:rsidRDefault="0090552F" w:rsidP="00436588">
            <w:pPr>
              <w:rPr>
                <w:sz w:val="16"/>
                <w:szCs w:val="16"/>
                <w:lang w:val="en-GB"/>
              </w:rPr>
            </w:pPr>
            <w:r w:rsidRPr="00D854CB">
              <w:rPr>
                <w:rFonts w:cs="Segoe UI"/>
                <w:b/>
                <w:color w:val="000000"/>
                <w:sz w:val="16"/>
                <w:szCs w:val="16"/>
                <w:lang w:val="en-GB"/>
              </w:rPr>
              <w:t>Subject number*</w:t>
            </w:r>
          </w:p>
        </w:tc>
        <w:tc>
          <w:tcPr>
            <w:tcW w:w="1676" w:type="dxa"/>
          </w:tcPr>
          <w:p w14:paraId="7C886B8B" w14:textId="61B14FB4" w:rsidR="0090552F" w:rsidRPr="00D854CB" w:rsidRDefault="00555EC6" w:rsidP="00436588">
            <w:pPr>
              <w:rPr>
                <w:sz w:val="16"/>
                <w:szCs w:val="16"/>
                <w:lang w:val="en-GB"/>
              </w:rPr>
            </w:pPr>
            <w:r>
              <w:rPr>
                <w:sz w:val="16"/>
                <w:szCs w:val="16"/>
                <w:lang w:val="en-GB"/>
              </w:rPr>
              <w:t>Assigned t</w:t>
            </w:r>
            <w:r w:rsidR="0090552F">
              <w:rPr>
                <w:sz w:val="16"/>
                <w:szCs w:val="16"/>
                <w:lang w:val="en-GB"/>
              </w:rPr>
              <w:t>reatment</w:t>
            </w:r>
          </w:p>
        </w:tc>
        <w:tc>
          <w:tcPr>
            <w:tcW w:w="2035" w:type="dxa"/>
          </w:tcPr>
          <w:p w14:paraId="48A587B0" w14:textId="6F0D0D29" w:rsidR="0090552F" w:rsidRDefault="00555EC6" w:rsidP="00436588">
            <w:pPr>
              <w:rPr>
                <w:sz w:val="16"/>
                <w:szCs w:val="16"/>
                <w:lang w:val="en-GB"/>
              </w:rPr>
            </w:pPr>
            <w:r>
              <w:rPr>
                <w:sz w:val="16"/>
                <w:szCs w:val="16"/>
                <w:lang w:val="en-GB"/>
              </w:rPr>
              <w:t>Causality to the study drug</w:t>
            </w:r>
          </w:p>
        </w:tc>
        <w:tc>
          <w:tcPr>
            <w:tcW w:w="2224" w:type="dxa"/>
          </w:tcPr>
          <w:p w14:paraId="1892A58A" w14:textId="12685C31" w:rsidR="0090552F" w:rsidRPr="00D854CB" w:rsidRDefault="0090552F" w:rsidP="00436588">
            <w:pPr>
              <w:rPr>
                <w:sz w:val="16"/>
                <w:szCs w:val="16"/>
                <w:lang w:val="en-GB"/>
              </w:rPr>
            </w:pPr>
            <w:r>
              <w:rPr>
                <w:sz w:val="16"/>
                <w:szCs w:val="16"/>
                <w:lang w:val="en-GB"/>
              </w:rPr>
              <w:t>Adverse event leading to drop out (PT term)</w:t>
            </w:r>
            <w:r w:rsidRPr="00D854CB">
              <w:rPr>
                <w:sz w:val="16"/>
                <w:szCs w:val="16"/>
                <w:lang w:val="en-GB"/>
              </w:rPr>
              <w:t xml:space="preserve"> </w:t>
            </w:r>
          </w:p>
        </w:tc>
        <w:tc>
          <w:tcPr>
            <w:tcW w:w="2291" w:type="dxa"/>
          </w:tcPr>
          <w:p w14:paraId="4CE5644B" w14:textId="77777777" w:rsidR="0090552F" w:rsidRPr="00D854CB" w:rsidRDefault="0090552F" w:rsidP="00436588">
            <w:pPr>
              <w:rPr>
                <w:sz w:val="16"/>
                <w:szCs w:val="16"/>
                <w:lang w:val="en-GB"/>
              </w:rPr>
            </w:pPr>
            <w:r w:rsidRPr="00D854CB">
              <w:rPr>
                <w:sz w:val="16"/>
                <w:szCs w:val="16"/>
                <w:lang w:val="en-GB"/>
              </w:rPr>
              <w:t>Comments</w:t>
            </w:r>
          </w:p>
        </w:tc>
      </w:tr>
      <w:tr w:rsidR="0090552F" w14:paraId="3386DDCE" w14:textId="77777777" w:rsidTr="0090552F">
        <w:tc>
          <w:tcPr>
            <w:tcW w:w="1350" w:type="dxa"/>
          </w:tcPr>
          <w:p w14:paraId="5B2D338E" w14:textId="77777777" w:rsidR="0090552F" w:rsidRPr="00870492" w:rsidRDefault="0090552F" w:rsidP="00436588">
            <w:pPr>
              <w:autoSpaceDE w:val="0"/>
              <w:autoSpaceDN w:val="0"/>
              <w:adjustRightInd w:val="0"/>
              <w:rPr>
                <w:rFonts w:cs="Segoe UI"/>
                <w:b/>
                <w:color w:val="000000"/>
                <w:sz w:val="16"/>
                <w:szCs w:val="16"/>
                <w:lang w:val="en-GB"/>
              </w:rPr>
            </w:pPr>
          </w:p>
        </w:tc>
        <w:tc>
          <w:tcPr>
            <w:tcW w:w="1676" w:type="dxa"/>
          </w:tcPr>
          <w:p w14:paraId="701FA87F" w14:textId="77777777" w:rsidR="0090552F" w:rsidRDefault="0090552F" w:rsidP="00436588">
            <w:pPr>
              <w:rPr>
                <w:lang w:val="en-GB"/>
              </w:rPr>
            </w:pPr>
          </w:p>
        </w:tc>
        <w:tc>
          <w:tcPr>
            <w:tcW w:w="2035" w:type="dxa"/>
          </w:tcPr>
          <w:p w14:paraId="774567E2" w14:textId="77777777" w:rsidR="0090552F" w:rsidRDefault="0090552F" w:rsidP="00436588">
            <w:pPr>
              <w:rPr>
                <w:lang w:val="en-GB"/>
              </w:rPr>
            </w:pPr>
          </w:p>
        </w:tc>
        <w:tc>
          <w:tcPr>
            <w:tcW w:w="2224" w:type="dxa"/>
          </w:tcPr>
          <w:p w14:paraId="09900F25" w14:textId="1A9C3FB9" w:rsidR="0090552F" w:rsidRDefault="0090552F" w:rsidP="00436588">
            <w:pPr>
              <w:rPr>
                <w:lang w:val="en-GB"/>
              </w:rPr>
            </w:pPr>
          </w:p>
        </w:tc>
        <w:tc>
          <w:tcPr>
            <w:tcW w:w="2291" w:type="dxa"/>
          </w:tcPr>
          <w:p w14:paraId="76A1AD6B" w14:textId="77777777" w:rsidR="0090552F" w:rsidRDefault="0090552F" w:rsidP="00436588">
            <w:pPr>
              <w:rPr>
                <w:lang w:val="en-GB"/>
              </w:rPr>
            </w:pPr>
          </w:p>
        </w:tc>
      </w:tr>
      <w:tr w:rsidR="00555EC6" w14:paraId="18236B3E" w14:textId="77777777" w:rsidTr="00C12FA5">
        <w:tc>
          <w:tcPr>
            <w:tcW w:w="9576" w:type="dxa"/>
            <w:gridSpan w:val="5"/>
          </w:tcPr>
          <w:p w14:paraId="08B4B8D5" w14:textId="5B519362" w:rsidR="00555EC6" w:rsidRDefault="00555EC6" w:rsidP="00436588">
            <w:pPr>
              <w:rPr>
                <w:lang w:val="en-GB"/>
              </w:rPr>
            </w:pPr>
            <w:r w:rsidRPr="0015768B">
              <w:rPr>
                <w:rFonts w:cs="Segoe UI"/>
                <w:color w:val="000000"/>
                <w:sz w:val="16"/>
                <w:szCs w:val="16"/>
                <w:lang w:val="en-GB"/>
              </w:rPr>
              <w:t>*Study/</w:t>
            </w:r>
            <w:proofErr w:type="spellStart"/>
            <w:r w:rsidRPr="0015768B">
              <w:rPr>
                <w:rFonts w:cs="Segoe UI"/>
                <w:color w:val="000000"/>
                <w:sz w:val="16"/>
                <w:szCs w:val="16"/>
                <w:lang w:val="en-GB"/>
              </w:rPr>
              <w:t>Center</w:t>
            </w:r>
            <w:proofErr w:type="spellEnd"/>
            <w:r w:rsidRPr="0015768B">
              <w:rPr>
                <w:rFonts w:cs="Segoe UI"/>
                <w:color w:val="000000"/>
                <w:sz w:val="16"/>
                <w:szCs w:val="16"/>
                <w:lang w:val="en-GB"/>
              </w:rPr>
              <w:t>/subject</w:t>
            </w:r>
          </w:p>
        </w:tc>
      </w:tr>
    </w:tbl>
    <w:p w14:paraId="54459927" w14:textId="77777777" w:rsidR="00316B5B" w:rsidRPr="00316B5B" w:rsidRDefault="00316B5B" w:rsidP="00316B5B">
      <w:pPr>
        <w:ind w:left="720"/>
        <w:rPr>
          <w:iCs/>
          <w:u w:val="single"/>
          <w:lang w:val="en-GB"/>
        </w:rPr>
      </w:pPr>
    </w:p>
    <w:p w14:paraId="265D9D6D" w14:textId="77777777" w:rsidR="005F1103" w:rsidRPr="0015768B" w:rsidRDefault="00E64FFE" w:rsidP="005F1103">
      <w:pPr>
        <w:pStyle w:val="Otsikko1"/>
        <w:rPr>
          <w:lang w:val="en-GB"/>
        </w:rPr>
      </w:pPr>
      <w:bookmarkStart w:id="63" w:name="_Toc129683720"/>
      <w:r w:rsidRPr="0015768B">
        <w:rPr>
          <w:lang w:val="en-GB"/>
        </w:rPr>
        <w:t>17. Late-breaking information</w:t>
      </w:r>
      <w:bookmarkEnd w:id="63"/>
      <w:r w:rsidRPr="0015768B">
        <w:rPr>
          <w:lang w:val="en-GB"/>
        </w:rPr>
        <w:t xml:space="preserve"> </w:t>
      </w:r>
    </w:p>
    <w:p w14:paraId="706D2A7F" w14:textId="58A4ABC4" w:rsidR="00935C5F" w:rsidRPr="0026547E" w:rsidRDefault="00935C5F" w:rsidP="00935C5F">
      <w:pPr>
        <w:rPr>
          <w:i/>
          <w:color w:val="D99594" w:themeColor="accent2" w:themeTint="99"/>
          <w:lang w:val="en-GB"/>
        </w:rPr>
      </w:pPr>
      <w:r w:rsidRPr="0026547E">
        <w:rPr>
          <w:i/>
          <w:color w:val="D99594" w:themeColor="accent2" w:themeTint="99"/>
          <w:lang w:val="en-GB"/>
        </w:rPr>
        <w:t xml:space="preserve">&lt;This section should </w:t>
      </w:r>
      <w:r w:rsidR="00001BBB" w:rsidRPr="0026547E">
        <w:rPr>
          <w:i/>
          <w:color w:val="D99594" w:themeColor="accent2" w:themeTint="99"/>
          <w:lang w:val="en-GB"/>
        </w:rPr>
        <w:t>summarize</w:t>
      </w:r>
      <w:r w:rsidRPr="0026547E">
        <w:rPr>
          <w:i/>
          <w:color w:val="D99594" w:themeColor="accent2" w:themeTint="99"/>
          <w:lang w:val="en-GB"/>
        </w:rPr>
        <w:t xml:space="preserve"> information on potentially important safety findings that arise after the data lock point but while the </w:t>
      </w:r>
      <w:r w:rsidR="0070626F" w:rsidRPr="0026547E">
        <w:rPr>
          <w:i/>
          <w:color w:val="D99594" w:themeColor="accent2" w:themeTint="99"/>
          <w:lang w:val="en-GB"/>
        </w:rPr>
        <w:t>ASR</w:t>
      </w:r>
      <w:r w:rsidRPr="0026547E">
        <w:rPr>
          <w:i/>
          <w:color w:val="D99594" w:themeColor="accent2" w:themeTint="99"/>
          <w:lang w:val="en-GB"/>
        </w:rPr>
        <w:t xml:space="preserve"> is in preparation</w:t>
      </w:r>
      <w:r w:rsidR="00BA54B9" w:rsidRPr="0026547E">
        <w:rPr>
          <w:i/>
          <w:color w:val="D99594" w:themeColor="accent2" w:themeTint="99"/>
          <w:lang w:val="en-GB"/>
        </w:rPr>
        <w:t>, if applicable</w:t>
      </w:r>
      <w:r w:rsidRPr="0026547E">
        <w:rPr>
          <w:i/>
          <w:color w:val="D99594" w:themeColor="accent2" w:themeTint="99"/>
          <w:lang w:val="en-GB"/>
        </w:rPr>
        <w:t>.&gt;</w:t>
      </w:r>
    </w:p>
    <w:p w14:paraId="27044A6A" w14:textId="77777777" w:rsidR="005F1103" w:rsidRPr="0015768B" w:rsidRDefault="00E64FFE" w:rsidP="005F1103">
      <w:pPr>
        <w:pStyle w:val="Otsikko1"/>
        <w:rPr>
          <w:lang w:val="en-GB"/>
        </w:rPr>
      </w:pPr>
      <w:bookmarkStart w:id="64" w:name="_Toc129683721"/>
      <w:r w:rsidRPr="0015768B">
        <w:rPr>
          <w:lang w:val="en-GB"/>
        </w:rPr>
        <w:t>18. Overall safety assessment</w:t>
      </w:r>
      <w:bookmarkEnd w:id="64"/>
    </w:p>
    <w:p w14:paraId="6AA79D25" w14:textId="2068F1FA" w:rsidR="00917710" w:rsidRPr="0026547E" w:rsidRDefault="00917710" w:rsidP="00917710">
      <w:pPr>
        <w:rPr>
          <w:i/>
          <w:color w:val="D99594" w:themeColor="accent2" w:themeTint="99"/>
          <w:lang w:val="en-GB"/>
        </w:rPr>
      </w:pPr>
      <w:r w:rsidRPr="0026547E">
        <w:rPr>
          <w:i/>
          <w:color w:val="D99594" w:themeColor="accent2" w:themeTint="99"/>
          <w:lang w:val="en-GB"/>
        </w:rPr>
        <w:t xml:space="preserve">&lt;This section should be a concise, integrated evaluation of all new relevant clinical, non-clinical, and epidemiologic information obtained during the reporting period relative to previous knowledge of the investigational drug. It should provide an interpretation of the information and its implications for the clinical trial population.&gt; </w:t>
      </w:r>
    </w:p>
    <w:p w14:paraId="6E4F9619" w14:textId="6F2C0C41" w:rsidR="00B71BF0" w:rsidRDefault="00F1772A" w:rsidP="006936BD">
      <w:r w:rsidRPr="00F1772A">
        <w:t xml:space="preserve">During this reporting period, the overall safety assessment has </w:t>
      </w:r>
      <w:r w:rsidR="00AF4222">
        <w:t>changed</w:t>
      </w:r>
      <w:r w:rsidRPr="00F1772A">
        <w:t xml:space="preserve"> due to the following newly identified or potential risks</w:t>
      </w:r>
      <w:r w:rsidR="00B71BF0">
        <w:t>.</w:t>
      </w:r>
    </w:p>
    <w:p w14:paraId="4D28B51D" w14:textId="2F420704" w:rsidR="006936BD" w:rsidRPr="0015768B" w:rsidRDefault="00B71BF0" w:rsidP="006936BD">
      <w:pPr>
        <w:rPr>
          <w:lang w:val="en-GB"/>
        </w:rPr>
      </w:pPr>
      <w:r w:rsidRPr="0088660B">
        <w:rPr>
          <w:iCs/>
          <w:lang w:val="en-GB"/>
        </w:rPr>
        <w:t>[</w:t>
      </w:r>
      <w:r w:rsidR="00F1772A" w:rsidRPr="0015768B">
        <w:rPr>
          <w:highlight w:val="green"/>
          <w:lang w:val="en-GB"/>
        </w:rPr>
        <w:t>add newly identified/potential risks</w:t>
      </w:r>
      <w:r w:rsidR="00F1772A" w:rsidRPr="0015768B">
        <w:rPr>
          <w:lang w:val="en-GB"/>
        </w:rPr>
        <w:t>]</w:t>
      </w:r>
    </w:p>
    <w:p w14:paraId="5057F780" w14:textId="77777777" w:rsidR="00A12FE1" w:rsidRPr="0026547E" w:rsidRDefault="00A12FE1" w:rsidP="00917710">
      <w:pPr>
        <w:rPr>
          <w:i/>
          <w:color w:val="D99594" w:themeColor="accent2" w:themeTint="99"/>
          <w:lang w:val="en-GB"/>
        </w:rPr>
      </w:pPr>
      <w:r w:rsidRPr="0026547E">
        <w:rPr>
          <w:i/>
          <w:color w:val="D99594" w:themeColor="accent2" w:themeTint="99"/>
          <w:lang w:val="en-GB"/>
        </w:rPr>
        <w:t xml:space="preserve">&lt;OR&gt; </w:t>
      </w:r>
    </w:p>
    <w:p w14:paraId="61D40FF0" w14:textId="414107A1" w:rsidR="006936BD" w:rsidRPr="006936BD" w:rsidRDefault="006936BD" w:rsidP="00917710">
      <w:pPr>
        <w:rPr>
          <w:lang w:val="en-GB"/>
        </w:rPr>
      </w:pPr>
      <w:r w:rsidRPr="0015768B">
        <w:rPr>
          <w:lang w:val="en-GB"/>
        </w:rPr>
        <w:t xml:space="preserve">Based on the information described in this </w:t>
      </w:r>
      <w:r>
        <w:rPr>
          <w:lang w:val="en-GB"/>
        </w:rPr>
        <w:t>ASR</w:t>
      </w:r>
      <w:r w:rsidRPr="0015768B">
        <w:rPr>
          <w:lang w:val="en-GB"/>
        </w:rPr>
        <w:t xml:space="preserve"> we do not have </w:t>
      </w:r>
      <w:r>
        <w:rPr>
          <w:lang w:val="en-GB"/>
        </w:rPr>
        <w:t xml:space="preserve">any </w:t>
      </w:r>
      <w:r w:rsidRPr="0015768B">
        <w:rPr>
          <w:lang w:val="en-GB"/>
        </w:rPr>
        <w:t>new safety concerns.</w:t>
      </w:r>
    </w:p>
    <w:p w14:paraId="0974EE75" w14:textId="77777777" w:rsidR="00363714" w:rsidRPr="0015768B" w:rsidRDefault="00E64FFE" w:rsidP="005A5CDB">
      <w:pPr>
        <w:pStyle w:val="Otsikko2"/>
        <w:rPr>
          <w:lang w:val="en-GB"/>
        </w:rPr>
      </w:pPr>
      <w:bookmarkStart w:id="65" w:name="_Toc129683722"/>
      <w:commentRangeStart w:id="66"/>
      <w:r w:rsidRPr="0015768B">
        <w:rPr>
          <w:lang w:val="en-GB"/>
        </w:rPr>
        <w:t>18.1. Evaluation of the risks</w:t>
      </w:r>
      <w:bookmarkEnd w:id="65"/>
      <w:commentRangeEnd w:id="66"/>
      <w:r w:rsidR="00FB43B7">
        <w:rPr>
          <w:rStyle w:val="Kommentinviite"/>
          <w:rFonts w:ascii="Segoe UI" w:eastAsia="Times New Roman" w:hAnsi="Segoe UI"/>
          <w:b w:val="0"/>
          <w:bCs w:val="0"/>
          <w:color w:val="auto"/>
        </w:rPr>
        <w:commentReference w:id="66"/>
      </w:r>
    </w:p>
    <w:p w14:paraId="70C65AFD" w14:textId="4F131D80" w:rsidR="006936BD" w:rsidRPr="0026547E" w:rsidRDefault="005A5CDB" w:rsidP="00D036B2">
      <w:pPr>
        <w:rPr>
          <w:i/>
          <w:color w:val="D99594" w:themeColor="accent2" w:themeTint="99"/>
          <w:lang w:val="en-GB"/>
        </w:rPr>
      </w:pPr>
      <w:r w:rsidRPr="0026547E">
        <w:rPr>
          <w:i/>
          <w:color w:val="D99594" w:themeColor="accent2" w:themeTint="99"/>
          <w:lang w:val="en-GB"/>
        </w:rPr>
        <w:t>&lt;This section should eva</w:t>
      </w:r>
      <w:r w:rsidR="004A3A74" w:rsidRPr="0026547E">
        <w:rPr>
          <w:i/>
          <w:color w:val="D99594" w:themeColor="accent2" w:themeTint="99"/>
          <w:lang w:val="en-GB"/>
        </w:rPr>
        <w:t>luate the newly identified risks</w:t>
      </w:r>
      <w:r w:rsidR="00D036B2" w:rsidRPr="0026547E">
        <w:rPr>
          <w:i/>
          <w:color w:val="D99594" w:themeColor="accent2" w:themeTint="99"/>
          <w:lang w:val="en-GB"/>
        </w:rPr>
        <w:t>, with particular focus on</w:t>
      </w:r>
      <w:r w:rsidR="00D036B2" w:rsidRPr="0026547E">
        <w:rPr>
          <w:color w:val="D99594" w:themeColor="accent2" w:themeTint="99"/>
        </w:rPr>
        <w:t xml:space="preserve"> </w:t>
      </w:r>
      <w:r w:rsidR="00D036B2" w:rsidRPr="0026547E">
        <w:rPr>
          <w:i/>
          <w:color w:val="D99594" w:themeColor="accent2" w:themeTint="99"/>
          <w:lang w:val="en-GB"/>
        </w:rPr>
        <w:t>interpretation of data related to newly identified safety concerns or providing significant new information relative to previously identified safety concerns</w:t>
      </w:r>
      <w:r w:rsidR="008E41B4" w:rsidRPr="0026547E">
        <w:rPr>
          <w:i/>
          <w:color w:val="D99594" w:themeColor="accent2" w:themeTint="99"/>
          <w:lang w:val="en-GB"/>
        </w:rPr>
        <w:t>. I</w:t>
      </w:r>
      <w:r w:rsidR="00B63875" w:rsidRPr="0026547E">
        <w:rPr>
          <w:i/>
          <w:color w:val="D99594" w:themeColor="accent2" w:themeTint="99"/>
          <w:lang w:val="en-GB"/>
        </w:rPr>
        <w:t>f applicable</w:t>
      </w:r>
      <w:r w:rsidR="004A3A74" w:rsidRPr="0026547E">
        <w:rPr>
          <w:i/>
          <w:color w:val="D99594" w:themeColor="accent2" w:themeTint="99"/>
          <w:lang w:val="en-GB"/>
        </w:rPr>
        <w:t>.</w:t>
      </w:r>
      <w:r w:rsidRPr="0026547E">
        <w:rPr>
          <w:i/>
          <w:color w:val="D99594" w:themeColor="accent2" w:themeTint="99"/>
          <w:lang w:val="en-GB"/>
        </w:rPr>
        <w:t>&gt;</w:t>
      </w:r>
    </w:p>
    <w:p w14:paraId="0043892C" w14:textId="67E367BA" w:rsidR="00B171D2" w:rsidRPr="0088660B" w:rsidRDefault="00B171D2" w:rsidP="006936BD">
      <w:pPr>
        <w:rPr>
          <w:i/>
          <w:color w:val="E5B8B7" w:themeColor="accent2" w:themeTint="66"/>
          <w:lang w:val="en-GB"/>
        </w:rPr>
      </w:pPr>
      <w:r w:rsidRPr="0088660B">
        <w:rPr>
          <w:iCs/>
          <w:lang w:val="en-GB"/>
        </w:rPr>
        <w:t>The newly identified safety concern of [</w:t>
      </w:r>
      <w:r w:rsidRPr="006D2445">
        <w:rPr>
          <w:iCs/>
          <w:highlight w:val="green"/>
          <w:lang w:val="en-GB"/>
        </w:rPr>
        <w:t>add safety concern</w:t>
      </w:r>
      <w:r w:rsidRPr="0088660B">
        <w:rPr>
          <w:iCs/>
          <w:lang w:val="en-GB"/>
        </w:rPr>
        <w:t>]</w:t>
      </w:r>
      <w:r w:rsidRPr="0088660B">
        <w:rPr>
          <w:i/>
          <w:color w:val="E5B8B7" w:themeColor="accent2" w:themeTint="66"/>
          <w:lang w:val="en-GB"/>
        </w:rPr>
        <w:t xml:space="preserve"> </w:t>
      </w:r>
      <w:r w:rsidR="00E25948" w:rsidRPr="0088660B">
        <w:rPr>
          <w:iCs/>
          <w:lang w:val="en-GB"/>
        </w:rPr>
        <w:t>has an impact on ….</w:t>
      </w:r>
    </w:p>
    <w:p w14:paraId="78198F7F" w14:textId="0DDB2A7F" w:rsidR="006936BD" w:rsidRPr="0026547E" w:rsidRDefault="006936BD" w:rsidP="006936BD">
      <w:pPr>
        <w:rPr>
          <w:i/>
          <w:lang w:val="en-GB"/>
        </w:rPr>
      </w:pPr>
      <w:r w:rsidRPr="0026547E">
        <w:rPr>
          <w:i/>
          <w:color w:val="D99594" w:themeColor="accent2" w:themeTint="99"/>
          <w:lang w:val="en-GB"/>
        </w:rPr>
        <w:t>&lt;OR&gt;</w:t>
      </w:r>
    </w:p>
    <w:p w14:paraId="45CACC77" w14:textId="70C03AAD" w:rsidR="005A5CDB" w:rsidRPr="0088660B" w:rsidRDefault="00C807DC" w:rsidP="005A5CDB">
      <w:pPr>
        <w:rPr>
          <w:lang w:val="en-GB"/>
        </w:rPr>
      </w:pPr>
      <w:r w:rsidRPr="0088660B">
        <w:rPr>
          <w:lang w:val="en-GB"/>
        </w:rPr>
        <w:t xml:space="preserve">No new safety concerns </w:t>
      </w:r>
      <w:r w:rsidR="00B97949" w:rsidRPr="0088660B">
        <w:rPr>
          <w:lang w:val="en-GB"/>
        </w:rPr>
        <w:t xml:space="preserve">and no new information relative to previously </w:t>
      </w:r>
      <w:r w:rsidR="00BF5311" w:rsidRPr="0088660B">
        <w:rPr>
          <w:lang w:val="en-GB"/>
        </w:rPr>
        <w:t xml:space="preserve">identified safety </w:t>
      </w:r>
      <w:r w:rsidR="00BF0690" w:rsidRPr="0088660B">
        <w:rPr>
          <w:lang w:val="en-GB"/>
        </w:rPr>
        <w:t>concerns, ha</w:t>
      </w:r>
      <w:r w:rsidR="00DA4227">
        <w:rPr>
          <w:lang w:val="en-GB"/>
        </w:rPr>
        <w:t>ve</w:t>
      </w:r>
      <w:r w:rsidR="00BF5311" w:rsidRPr="0088660B">
        <w:rPr>
          <w:lang w:val="en-GB"/>
        </w:rPr>
        <w:t xml:space="preserve"> been identified during the reporting period.</w:t>
      </w:r>
      <w:r w:rsidR="006936BD" w:rsidRPr="0088660B">
        <w:rPr>
          <w:lang w:val="en-GB"/>
        </w:rPr>
        <w:t xml:space="preserve"> </w:t>
      </w:r>
    </w:p>
    <w:p w14:paraId="1012D2F1" w14:textId="77777777" w:rsidR="00363714" w:rsidRPr="0088660B" w:rsidRDefault="00E64FFE" w:rsidP="003F4EF9">
      <w:pPr>
        <w:pStyle w:val="Otsikko2"/>
        <w:rPr>
          <w:lang w:val="en-GB"/>
        </w:rPr>
      </w:pPr>
      <w:bookmarkStart w:id="67" w:name="_Toc129683723"/>
      <w:r w:rsidRPr="0088660B">
        <w:rPr>
          <w:lang w:val="en-GB"/>
        </w:rPr>
        <w:lastRenderedPageBreak/>
        <w:t>18.2. Benefit-risk considerations</w:t>
      </w:r>
      <w:bookmarkEnd w:id="67"/>
    </w:p>
    <w:p w14:paraId="3D3315A2" w14:textId="4CEFC6A1" w:rsidR="005F1103" w:rsidRPr="0026547E" w:rsidRDefault="005A5CDB" w:rsidP="00363714">
      <w:pPr>
        <w:rPr>
          <w:i/>
          <w:color w:val="D99594" w:themeColor="accent2" w:themeTint="99"/>
          <w:lang w:val="en-GB"/>
        </w:rPr>
      </w:pPr>
      <w:r w:rsidRPr="0026547E">
        <w:rPr>
          <w:i/>
          <w:color w:val="D99594" w:themeColor="accent2" w:themeTint="99"/>
          <w:lang w:val="en-GB"/>
        </w:rPr>
        <w:t xml:space="preserve">&lt;This section </w:t>
      </w:r>
      <w:r w:rsidR="00DE0886" w:rsidRPr="0026547E">
        <w:rPr>
          <w:i/>
          <w:color w:val="D99594" w:themeColor="accent2" w:themeTint="99"/>
          <w:lang w:val="en-GB"/>
        </w:rPr>
        <w:t>should briefly explain</w:t>
      </w:r>
      <w:r w:rsidR="00C82CE8" w:rsidRPr="0026547E">
        <w:rPr>
          <w:i/>
          <w:color w:val="D99594" w:themeColor="accent2" w:themeTint="99"/>
          <w:lang w:val="en-GB"/>
        </w:rPr>
        <w:t xml:space="preserve"> how the </w:t>
      </w:r>
      <w:r w:rsidRPr="0026547E">
        <w:rPr>
          <w:i/>
          <w:color w:val="D99594" w:themeColor="accent2" w:themeTint="99"/>
          <w:lang w:val="en-GB"/>
        </w:rPr>
        <w:t>risks that have been identified from cumulative safety data</w:t>
      </w:r>
      <w:r w:rsidR="009E17C2" w:rsidRPr="0026547E">
        <w:rPr>
          <w:i/>
          <w:color w:val="D99594" w:themeColor="accent2" w:themeTint="99"/>
          <w:lang w:val="en-GB"/>
        </w:rPr>
        <w:t xml:space="preserve"> compare to the </w:t>
      </w:r>
      <w:r w:rsidRPr="0026547E">
        <w:rPr>
          <w:i/>
          <w:color w:val="D99594" w:themeColor="accent2" w:themeTint="99"/>
          <w:lang w:val="en-GB"/>
        </w:rPr>
        <w:t>anticipated efficacy/benefits</w:t>
      </w:r>
      <w:r w:rsidR="009E17C2" w:rsidRPr="0026547E">
        <w:rPr>
          <w:i/>
          <w:color w:val="D99594" w:themeColor="accent2" w:themeTint="99"/>
          <w:lang w:val="en-GB"/>
        </w:rPr>
        <w:t xml:space="preserve"> of the drug. </w:t>
      </w:r>
      <w:r w:rsidR="00D632CC" w:rsidRPr="0026547E">
        <w:rPr>
          <w:i/>
          <w:color w:val="D99594" w:themeColor="accent2" w:themeTint="99"/>
          <w:lang w:val="en-GB"/>
        </w:rPr>
        <w:t xml:space="preserve">It should </w:t>
      </w:r>
      <w:r w:rsidR="00362907" w:rsidRPr="0026547E">
        <w:rPr>
          <w:i/>
          <w:color w:val="D99594" w:themeColor="accent2" w:themeTint="99"/>
          <w:lang w:val="en-GB"/>
        </w:rPr>
        <w:t xml:space="preserve">also </w:t>
      </w:r>
      <w:r w:rsidR="00D632CC" w:rsidRPr="0026547E">
        <w:rPr>
          <w:i/>
          <w:color w:val="D99594" w:themeColor="accent2" w:themeTint="99"/>
          <w:lang w:val="en-GB"/>
        </w:rPr>
        <w:t xml:space="preserve">be noted </w:t>
      </w:r>
      <w:r w:rsidRPr="0026547E">
        <w:rPr>
          <w:i/>
          <w:color w:val="D99594" w:themeColor="accent2" w:themeTint="99"/>
          <w:lang w:val="en-GB"/>
        </w:rPr>
        <w:t xml:space="preserve">whether there have been any changes in this </w:t>
      </w:r>
      <w:r w:rsidR="00D632CC" w:rsidRPr="0026547E">
        <w:rPr>
          <w:i/>
          <w:color w:val="D99594" w:themeColor="accent2" w:themeTint="99"/>
          <w:lang w:val="en-GB"/>
        </w:rPr>
        <w:t xml:space="preserve">risk-benefit </w:t>
      </w:r>
      <w:r w:rsidRPr="0026547E">
        <w:rPr>
          <w:i/>
          <w:color w:val="D99594" w:themeColor="accent2" w:themeTint="99"/>
          <w:lang w:val="en-GB"/>
        </w:rPr>
        <w:t xml:space="preserve">balance since the previous </w:t>
      </w:r>
      <w:r w:rsidR="0070626F" w:rsidRPr="0026547E">
        <w:rPr>
          <w:i/>
          <w:color w:val="D99594" w:themeColor="accent2" w:themeTint="99"/>
          <w:lang w:val="en-GB"/>
        </w:rPr>
        <w:t>ASR</w:t>
      </w:r>
      <w:r w:rsidRPr="0026547E">
        <w:rPr>
          <w:i/>
          <w:color w:val="D99594" w:themeColor="accent2" w:themeTint="99"/>
          <w:lang w:val="en-GB"/>
        </w:rPr>
        <w:t>. This section is not intended to be a full benefit-risk assessment of the investigational drug.&gt;</w:t>
      </w:r>
    </w:p>
    <w:p w14:paraId="6BD1B686" w14:textId="77777777" w:rsidR="00D1212C" w:rsidRPr="0015768B" w:rsidRDefault="00E64FFE" w:rsidP="005F1103">
      <w:pPr>
        <w:pStyle w:val="Otsikko1"/>
        <w:rPr>
          <w:lang w:val="en-GB"/>
        </w:rPr>
      </w:pPr>
      <w:bookmarkStart w:id="68" w:name="_Toc129683724"/>
      <w:commentRangeStart w:id="69"/>
      <w:r w:rsidRPr="0015768B">
        <w:rPr>
          <w:lang w:val="en-GB"/>
        </w:rPr>
        <w:t>19. Summary of important risks</w:t>
      </w:r>
      <w:bookmarkEnd w:id="68"/>
      <w:r w:rsidRPr="0015768B">
        <w:rPr>
          <w:lang w:val="en-GB"/>
        </w:rPr>
        <w:t xml:space="preserve"> </w:t>
      </w:r>
      <w:commentRangeEnd w:id="69"/>
      <w:r w:rsidR="00F54362">
        <w:rPr>
          <w:rStyle w:val="Kommentinviite"/>
          <w:rFonts w:ascii="Segoe UI" w:eastAsia="Times New Roman" w:hAnsi="Segoe UI"/>
          <w:b w:val="0"/>
          <w:bCs w:val="0"/>
          <w:color w:val="auto"/>
        </w:rPr>
        <w:commentReference w:id="69"/>
      </w:r>
    </w:p>
    <w:p w14:paraId="6754283D" w14:textId="6E079C1D" w:rsidR="00870492" w:rsidRPr="0026547E" w:rsidRDefault="00D1212C" w:rsidP="00870492">
      <w:pPr>
        <w:rPr>
          <w:color w:val="D99594" w:themeColor="accent2" w:themeTint="99"/>
          <w:lang w:val="en-GB"/>
        </w:rPr>
      </w:pPr>
      <w:r w:rsidRPr="0026547E">
        <w:rPr>
          <w:color w:val="D99594" w:themeColor="accent2" w:themeTint="99"/>
          <w:lang w:val="en-GB"/>
        </w:rPr>
        <w:t>&lt;This section should provide a concise, cumulative, issue-by-issue list of important identified and potential risks</w:t>
      </w:r>
      <w:r w:rsidR="00536A67" w:rsidRPr="0026547E">
        <w:rPr>
          <w:color w:val="D99594" w:themeColor="accent2" w:themeTint="99"/>
          <w:lang w:val="en-GB"/>
        </w:rPr>
        <w:t>. It should focus on the risk specific to the stud</w:t>
      </w:r>
      <w:r w:rsidR="004677F3" w:rsidRPr="0026547E">
        <w:rPr>
          <w:color w:val="D99594" w:themeColor="accent2" w:themeTint="99"/>
          <w:lang w:val="en-GB"/>
        </w:rPr>
        <w:t>y</w:t>
      </w:r>
      <w:r w:rsidR="00536A67" w:rsidRPr="0026547E">
        <w:rPr>
          <w:color w:val="D99594" w:themeColor="accent2" w:themeTint="99"/>
          <w:lang w:val="en-GB"/>
        </w:rPr>
        <w:t>.&gt;</w:t>
      </w:r>
    </w:p>
    <w:p w14:paraId="2298AC37" w14:textId="77777777" w:rsidR="00E64FFE" w:rsidRPr="0088660B" w:rsidRDefault="00E64FFE" w:rsidP="005F1103">
      <w:pPr>
        <w:pStyle w:val="Otsikko1"/>
        <w:rPr>
          <w:lang w:val="en-GB"/>
        </w:rPr>
      </w:pPr>
      <w:bookmarkStart w:id="70" w:name="_Toc129683725"/>
      <w:r w:rsidRPr="0088660B">
        <w:rPr>
          <w:lang w:val="en-GB"/>
        </w:rPr>
        <w:t>20. Conclusions</w:t>
      </w:r>
      <w:bookmarkEnd w:id="70"/>
      <w:r w:rsidRPr="0088660B">
        <w:rPr>
          <w:lang w:val="en-GB"/>
        </w:rPr>
        <w:t xml:space="preserve"> </w:t>
      </w:r>
    </w:p>
    <w:p w14:paraId="56137DB7" w14:textId="5DD98FF4" w:rsidR="00E64FFE" w:rsidRPr="0015768B" w:rsidRDefault="00BA54B9" w:rsidP="00BD6F10">
      <w:pPr>
        <w:autoSpaceDE w:val="0"/>
        <w:autoSpaceDN w:val="0"/>
        <w:adjustRightInd w:val="0"/>
        <w:spacing w:after="0" w:line="240" w:lineRule="auto"/>
        <w:rPr>
          <w:bCs/>
          <w:lang w:val="en-GB"/>
        </w:rPr>
      </w:pPr>
      <w:r w:rsidRPr="0088660B">
        <w:rPr>
          <w:lang w:val="en-GB"/>
        </w:rPr>
        <w:t xml:space="preserve">We </w:t>
      </w:r>
      <w:r w:rsidR="00BD6F10" w:rsidRPr="0088660B">
        <w:rPr>
          <w:lang w:val="en-GB"/>
        </w:rPr>
        <w:t xml:space="preserve">conclude that the information obtained in this reporting period justifies continuation </w:t>
      </w:r>
      <w:r w:rsidR="004A3A74" w:rsidRPr="0088660B">
        <w:rPr>
          <w:lang w:val="en-GB"/>
        </w:rPr>
        <w:t xml:space="preserve">of this </w:t>
      </w:r>
      <w:r w:rsidR="0088660B" w:rsidRPr="0088660B">
        <w:rPr>
          <w:lang w:val="en-GB"/>
        </w:rPr>
        <w:t>investigator-initiated</w:t>
      </w:r>
      <w:r w:rsidR="00BD6F10" w:rsidRPr="0088660B">
        <w:rPr>
          <w:lang w:val="en-GB"/>
        </w:rPr>
        <w:t xml:space="preserve"> </w:t>
      </w:r>
      <w:r w:rsidR="00BD6F10" w:rsidRPr="0088660B">
        <w:rPr>
          <w:bCs/>
          <w:lang w:val="en-GB"/>
        </w:rPr>
        <w:t>study</w:t>
      </w:r>
      <w:r w:rsidRPr="0088660B">
        <w:rPr>
          <w:bCs/>
          <w:lang w:val="en-GB"/>
        </w:rPr>
        <w:t xml:space="preserve"> without any modification.</w:t>
      </w:r>
      <w:r w:rsidR="00757729" w:rsidRPr="0088660B">
        <w:rPr>
          <w:bCs/>
          <w:lang w:val="en-GB"/>
        </w:rPr>
        <w:t xml:space="preserve"> </w:t>
      </w:r>
      <w:r w:rsidR="00566B62" w:rsidRPr="0088660B">
        <w:rPr>
          <w:bCs/>
        </w:rPr>
        <w:t>The benefit-risk balance for participants in the clinical trial is considered to remain favorable.</w:t>
      </w:r>
    </w:p>
    <w:p w14:paraId="44CAB71D" w14:textId="77777777" w:rsidR="00BD6F10" w:rsidRPr="0026547E" w:rsidRDefault="00BD6F10" w:rsidP="00E64FFE">
      <w:pPr>
        <w:rPr>
          <w:color w:val="D99594" w:themeColor="accent2" w:themeTint="99"/>
          <w:lang w:val="en-GB"/>
        </w:rPr>
      </w:pPr>
      <w:r w:rsidRPr="0015768B">
        <w:rPr>
          <w:lang w:val="en-GB"/>
        </w:rPr>
        <w:br/>
      </w:r>
      <w:r w:rsidRPr="0026547E">
        <w:rPr>
          <w:color w:val="D99594" w:themeColor="accent2" w:themeTint="99"/>
          <w:lang w:val="en-GB"/>
        </w:rPr>
        <w:t>&lt;OR&gt;</w:t>
      </w:r>
    </w:p>
    <w:p w14:paraId="2FDFA103" w14:textId="52F0954F" w:rsidR="00BD6F10" w:rsidRPr="0015768B" w:rsidRDefault="00BD6F10" w:rsidP="00BD6F10">
      <w:pPr>
        <w:autoSpaceDE w:val="0"/>
        <w:autoSpaceDN w:val="0"/>
        <w:adjustRightInd w:val="0"/>
        <w:spacing w:after="0" w:line="240" w:lineRule="auto"/>
        <w:rPr>
          <w:lang w:val="en-GB"/>
        </w:rPr>
      </w:pPr>
      <w:r w:rsidRPr="0015768B">
        <w:rPr>
          <w:lang w:val="en-GB"/>
        </w:rPr>
        <w:t xml:space="preserve">During this </w:t>
      </w:r>
      <w:r w:rsidR="0070626F">
        <w:rPr>
          <w:lang w:val="en-GB"/>
        </w:rPr>
        <w:t>ASR</w:t>
      </w:r>
      <w:r w:rsidRPr="0015768B">
        <w:rPr>
          <w:lang w:val="en-GB"/>
        </w:rPr>
        <w:t xml:space="preserve"> reporting period some new safety concerns are addressed. The following </w:t>
      </w:r>
      <w:commentRangeStart w:id="71"/>
      <w:r w:rsidRPr="0015768B">
        <w:rPr>
          <w:lang w:val="en-GB"/>
        </w:rPr>
        <w:t>actions</w:t>
      </w:r>
      <w:commentRangeEnd w:id="71"/>
      <w:r w:rsidR="004517FC" w:rsidRPr="0015768B">
        <w:rPr>
          <w:rStyle w:val="Kommentinviite"/>
          <w:lang w:val="en-GB"/>
        </w:rPr>
        <w:commentReference w:id="71"/>
      </w:r>
      <w:r w:rsidRPr="0015768B">
        <w:rPr>
          <w:lang w:val="en-GB"/>
        </w:rPr>
        <w:t xml:space="preserve"> </w:t>
      </w:r>
      <w:r w:rsidR="001C7760" w:rsidRPr="0015768B">
        <w:rPr>
          <w:highlight w:val="green"/>
          <w:lang w:val="en-GB"/>
        </w:rPr>
        <w:t>[</w:t>
      </w:r>
      <w:r w:rsidRPr="0015768B">
        <w:rPr>
          <w:highlight w:val="green"/>
          <w:lang w:val="en-GB"/>
        </w:rPr>
        <w:t>have been/will be taken</w:t>
      </w:r>
      <w:r w:rsidR="001C7760" w:rsidRPr="0015768B">
        <w:rPr>
          <w:highlight w:val="green"/>
          <w:lang w:val="en-GB"/>
        </w:rPr>
        <w:t>]</w:t>
      </w:r>
      <w:r w:rsidRPr="0015768B">
        <w:rPr>
          <w:lang w:val="en-GB"/>
        </w:rPr>
        <w:t xml:space="preserve"> to </w:t>
      </w:r>
      <w:r w:rsidRPr="0088660B">
        <w:rPr>
          <w:lang w:val="en-GB"/>
        </w:rPr>
        <w:t xml:space="preserve">address emerging safety issues during this </w:t>
      </w:r>
      <w:r w:rsidR="0088660B" w:rsidRPr="0088660B">
        <w:rPr>
          <w:lang w:val="en-GB"/>
        </w:rPr>
        <w:t>investigator-initiated</w:t>
      </w:r>
      <w:r w:rsidRPr="0088660B">
        <w:rPr>
          <w:lang w:val="en-GB"/>
        </w:rPr>
        <w:t xml:space="preserve"> trial.</w:t>
      </w:r>
      <w:r w:rsidR="00C67BA1" w:rsidRPr="0088660B">
        <w:rPr>
          <w:lang w:val="en-GB"/>
        </w:rPr>
        <w:t xml:space="preserve"> </w:t>
      </w:r>
      <w:r w:rsidR="00D85B1F" w:rsidRPr="0088660B">
        <w:t>The [actions implemented/planned] ensure that the benefit-risk balance for participants in the clinical trials is considered to remain favorable.</w:t>
      </w:r>
    </w:p>
    <w:p w14:paraId="3130C2E3" w14:textId="77777777" w:rsidR="00BD6F10" w:rsidRPr="0015768B" w:rsidRDefault="00BD6F10" w:rsidP="00BD6F10">
      <w:pPr>
        <w:autoSpaceDE w:val="0"/>
        <w:autoSpaceDN w:val="0"/>
        <w:adjustRightInd w:val="0"/>
        <w:spacing w:after="0" w:line="240" w:lineRule="auto"/>
        <w:rPr>
          <w:lang w:val="en-GB"/>
        </w:rPr>
      </w:pPr>
    </w:p>
    <w:p w14:paraId="36B14D4A" w14:textId="77777777" w:rsidR="00E64FFE" w:rsidRPr="0015768B" w:rsidRDefault="00E64FFE" w:rsidP="00E64FFE">
      <w:pPr>
        <w:rPr>
          <w:lang w:val="en-GB"/>
        </w:rPr>
      </w:pPr>
    </w:p>
    <w:p w14:paraId="4B07AA30" w14:textId="77777777" w:rsidR="00D6279D" w:rsidRPr="0015768B" w:rsidRDefault="00D6279D" w:rsidP="00D62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222222"/>
          <w:sz w:val="20"/>
          <w:szCs w:val="20"/>
          <w:lang w:val="en-GB" w:eastAsia="nl-NL"/>
        </w:rPr>
      </w:pPr>
      <w:r w:rsidRPr="0015768B">
        <w:rPr>
          <w:rFonts w:ascii="Courier New" w:hAnsi="Courier New" w:cs="Courier New"/>
          <w:color w:val="222222"/>
          <w:sz w:val="20"/>
          <w:szCs w:val="20"/>
          <w:lang w:val="en-GB" w:eastAsia="nl-NL"/>
        </w:rPr>
        <w:t> </w:t>
      </w:r>
    </w:p>
    <w:sectPr w:rsidR="00D6279D" w:rsidRPr="0015768B" w:rsidSect="00D86D16">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C9DA6F3" w14:textId="77777777" w:rsidR="000A6448" w:rsidRDefault="000A6448" w:rsidP="000A6448">
      <w:pPr>
        <w:pStyle w:val="Kommentinteksti"/>
      </w:pPr>
      <w:r>
        <w:rPr>
          <w:rStyle w:val="Kommentinviite"/>
        </w:rPr>
        <w:annotationRef/>
      </w:r>
      <w:r>
        <w:t>Please remove this page before submission of the ASR.</w:t>
      </w:r>
    </w:p>
  </w:comment>
  <w:comment w:id="3" w:author="Author" w:initials="A">
    <w:p w14:paraId="3BF0837C" w14:textId="1442E75C" w:rsidR="005B0576" w:rsidRDefault="00B3141F" w:rsidP="005B0576">
      <w:pPr>
        <w:pStyle w:val="Kommentinteksti"/>
      </w:pPr>
      <w:r>
        <w:rPr>
          <w:rStyle w:val="Kommentinviite"/>
        </w:rPr>
        <w:annotationRef/>
      </w:r>
      <w:r w:rsidR="005B0576">
        <w:t xml:space="preserve">Where text is marked green </w:t>
      </w:r>
      <w:r w:rsidR="005B0576">
        <w:rPr>
          <w:highlight w:val="green"/>
        </w:rPr>
        <w:t xml:space="preserve">[description], </w:t>
      </w:r>
      <w:r w:rsidR="005B0576">
        <w:t>replace by the correct information or the correct choice.</w:t>
      </w:r>
    </w:p>
  </w:comment>
  <w:comment w:id="1" w:author="Author" w:initials="A">
    <w:p w14:paraId="78451C0D" w14:textId="77777777" w:rsidR="00FD1393" w:rsidRDefault="00FD1393" w:rsidP="00FD1393">
      <w:pPr>
        <w:pStyle w:val="Kommentinteksti"/>
      </w:pPr>
      <w:r>
        <w:rPr>
          <w:rStyle w:val="Kommentinviite"/>
        </w:rPr>
        <w:annotationRef/>
      </w:r>
      <w:r>
        <w:t xml:space="preserve">This template is based on the guidance on DSURs as laid down in ICH E2F. For more information see ICH E2F </w:t>
      </w:r>
      <w:r>
        <w:rPr>
          <w:color w:val="0000FF"/>
          <w:u w:val="single"/>
        </w:rPr>
        <w:t>https://www.ema.europa.eu/documents/scientific-guideline/international-conference-harmonisation-technical-requirements-registration-pharmaceuticals-human-use_en-26.pdf</w:t>
      </w:r>
    </w:p>
    <w:p w14:paraId="0E52248C" w14:textId="77777777" w:rsidR="00FD1393" w:rsidRDefault="00FD1393" w:rsidP="00FD1393">
      <w:pPr>
        <w:pStyle w:val="Kommentinteksti"/>
      </w:pPr>
    </w:p>
    <w:p w14:paraId="0050D239" w14:textId="77777777" w:rsidR="00FD1393" w:rsidRDefault="00FD1393" w:rsidP="00FD1393">
      <w:pPr>
        <w:pStyle w:val="Kommentinteksti"/>
      </w:pPr>
      <w:r>
        <w:t>In principle, a, ASR is not submitted for a specific study, but for a medicinal product.</w:t>
      </w:r>
      <w:r>
        <w:br/>
      </w:r>
      <w:r>
        <w:br/>
        <w:t>The ASR should include safety information from the clinical trial currently being conducted by the sponsor.</w:t>
      </w:r>
    </w:p>
    <w:p w14:paraId="379D937F" w14:textId="77777777" w:rsidR="00FD1393" w:rsidRDefault="00FD1393" w:rsidP="00FD1393">
      <w:pPr>
        <w:pStyle w:val="Kommentinteksti"/>
      </w:pPr>
    </w:p>
    <w:p w14:paraId="33305138" w14:textId="77777777" w:rsidR="00FD1393" w:rsidRDefault="00FD1393" w:rsidP="00FD1393">
      <w:pPr>
        <w:pStyle w:val="Kommentinteksti"/>
      </w:pPr>
      <w:r>
        <w:t xml:space="preserve">For non-commercial sponsors conducting a single clinical trial on IMPs with a MA in the concerned member state(s) and where the SmPC is used as RSI submitting a simplified ASR based on the ICH-E2F may be appropriate. </w:t>
      </w:r>
      <w:r>
        <w:br/>
      </w:r>
    </w:p>
    <w:p w14:paraId="13C30E7E" w14:textId="77777777" w:rsidR="00FD1393" w:rsidRDefault="00FD1393" w:rsidP="00FD1393">
      <w:pPr>
        <w:pStyle w:val="Kommentinteksti"/>
      </w:pPr>
      <w:r>
        <w:t xml:space="preserve">In situations where you as sponsor-investigator do not have access to the information to be included in specific sections (e.g., information on manufacturing issues, non-clinical data, and marketing status), this should be stated in the ASR and the executive summary. </w:t>
      </w:r>
      <w:r>
        <w:rPr>
          <w:b/>
          <w:bCs/>
        </w:rPr>
        <w:t>It is not allowed to delete those sections, but explain shortly that you have no access to this information</w:t>
      </w:r>
      <w:r>
        <w:t>.</w:t>
      </w:r>
    </w:p>
  </w:comment>
  <w:comment w:id="2" w:author="Author" w:initials="A">
    <w:p w14:paraId="114B04C5" w14:textId="77777777" w:rsidR="002B01A0" w:rsidRDefault="00FD1393" w:rsidP="002B01A0">
      <w:pPr>
        <w:pStyle w:val="Kommentinteksti"/>
      </w:pPr>
      <w:r>
        <w:rPr>
          <w:rStyle w:val="Kommentinviite"/>
        </w:rPr>
        <w:annotationRef/>
      </w:r>
      <w:r w:rsidR="002B01A0">
        <w:rPr>
          <w:b/>
          <w:bCs/>
        </w:rPr>
        <w:t>None of the sections of the Simplified ASR template should be deleted. All sections must remain to ensure compliance with the ICH E2F guidance.</w:t>
      </w:r>
    </w:p>
  </w:comment>
  <w:comment w:id="5" w:author="Author" w:initials="A">
    <w:p w14:paraId="1F2A0311" w14:textId="41FFD651" w:rsidR="00192D29" w:rsidRDefault="00B3141F" w:rsidP="00192D29">
      <w:pPr>
        <w:pStyle w:val="Kommentinteksti"/>
      </w:pPr>
      <w:r>
        <w:rPr>
          <w:rStyle w:val="Kommentinviite"/>
        </w:rPr>
        <w:annotationRef/>
      </w:r>
      <w:r w:rsidR="00192D29">
        <w:t>Reports should be numbered sequentially.</w:t>
      </w:r>
    </w:p>
  </w:comment>
  <w:comment w:id="6" w:author="Author" w:initials="A">
    <w:p w14:paraId="4507A4EA" w14:textId="77777777" w:rsidR="00B542FA" w:rsidRDefault="008C52C1" w:rsidP="00B542FA">
      <w:pPr>
        <w:pStyle w:val="Kommentinteksti"/>
      </w:pPr>
      <w:r>
        <w:rPr>
          <w:rStyle w:val="Kommentinviite"/>
        </w:rPr>
        <w:annotationRef/>
      </w:r>
      <w:r w:rsidR="00B542FA">
        <w:t>First report covers the period from trial authorisation to exactly 1 year later (e.g. 6.12.2025 to 5.12.2026) and so on. The report should be submitted within 60 days after the end of the reporting period. (Please note that the reporting period does not start with the first visit of the first patient (FVFP) in the clinical trial but the authorisation date of the clinical trial.)</w:t>
      </w:r>
    </w:p>
    <w:p w14:paraId="514E818B" w14:textId="77777777" w:rsidR="00B542FA" w:rsidRDefault="00B542FA" w:rsidP="00B542FA">
      <w:pPr>
        <w:pStyle w:val="Kommentinteksti"/>
      </w:pPr>
    </w:p>
    <w:p w14:paraId="29C462A4" w14:textId="77777777" w:rsidR="00B542FA" w:rsidRDefault="00B542FA" w:rsidP="00B542FA">
      <w:pPr>
        <w:pStyle w:val="Kommentinteksti"/>
      </w:pPr>
      <w:r>
        <w:t>The submission date cannot be the same date as the end of the reporting period.</w:t>
      </w:r>
    </w:p>
  </w:comment>
  <w:comment w:id="9" w:author="Author" w:initials="A">
    <w:p w14:paraId="4F212DA4" w14:textId="02EA3E52" w:rsidR="002B01A0" w:rsidRDefault="00B3141F" w:rsidP="002B01A0">
      <w:pPr>
        <w:pStyle w:val="Kommentinteksti"/>
      </w:pPr>
      <w:r>
        <w:rPr>
          <w:rStyle w:val="Kommentinviite"/>
          <w:rFonts w:cs="Verdana"/>
        </w:rPr>
        <w:annotationRef/>
      </w:r>
      <w:r w:rsidR="002B01A0">
        <w:rPr>
          <w:color w:val="000000"/>
        </w:rPr>
        <w:t xml:space="preserve">This section should provide a concise summary of the important information contained in the report. </w:t>
      </w:r>
    </w:p>
    <w:p w14:paraId="46E0C213" w14:textId="77777777" w:rsidR="002B01A0" w:rsidRDefault="002B01A0" w:rsidP="002B01A0">
      <w:pPr>
        <w:pStyle w:val="Kommentinteksti"/>
      </w:pPr>
    </w:p>
    <w:p w14:paraId="3782270C" w14:textId="77777777" w:rsidR="002B01A0" w:rsidRDefault="002B01A0" w:rsidP="002B01A0">
      <w:pPr>
        <w:pStyle w:val="Kommentinteksti"/>
      </w:pPr>
      <w:r>
        <w:rPr>
          <w:color w:val="000000"/>
        </w:rPr>
        <w:t xml:space="preserve">Together with the title page, it should serve as a “stand-alone” document. </w:t>
      </w:r>
    </w:p>
    <w:p w14:paraId="1720D087" w14:textId="77777777" w:rsidR="002B01A0" w:rsidRDefault="002B01A0" w:rsidP="002B01A0">
      <w:pPr>
        <w:pStyle w:val="Kommentinteksti"/>
      </w:pPr>
    </w:p>
    <w:p w14:paraId="1302066C" w14:textId="77777777" w:rsidR="002B01A0" w:rsidRDefault="002B01A0" w:rsidP="002B01A0">
      <w:pPr>
        <w:pStyle w:val="Kommentinteksti"/>
      </w:pPr>
      <w:r>
        <w:rPr>
          <w:color w:val="000000"/>
          <w:lang w:val="en-GB"/>
        </w:rPr>
        <w:t>In situations where you as sponsor-investigator do not have access to the information to be included in specific sections (e.g., information on manufacturing issues, non-clinical data, and marketing status), this should be stated in the executive summary.</w:t>
      </w:r>
    </w:p>
  </w:comment>
  <w:comment w:id="13" w:author="Author" w:initials="A">
    <w:p w14:paraId="4FBD14D5" w14:textId="3D8040E0" w:rsidR="00710AA7" w:rsidRDefault="00044BB8">
      <w:pPr>
        <w:pStyle w:val="Kommentinteksti"/>
      </w:pPr>
      <w:r>
        <w:rPr>
          <w:rStyle w:val="Kommentinviite"/>
        </w:rPr>
        <w:annotationRef/>
      </w:r>
      <w:r w:rsidRPr="00380DE8">
        <w:rPr>
          <w:rFonts w:ascii="Arial" w:hAnsi="Arial" w:cs="Arial"/>
        </w:rPr>
        <w:t xml:space="preserve">Most of the information can be copied to/from the executive summary. </w:t>
      </w:r>
    </w:p>
  </w:comment>
  <w:comment w:id="16" w:author="Author" w:initials="A">
    <w:p w14:paraId="42887C96" w14:textId="77777777" w:rsidR="002B01A0" w:rsidRDefault="00B3141F" w:rsidP="002B01A0">
      <w:pPr>
        <w:pStyle w:val="Kommentinteksti"/>
      </w:pPr>
      <w:r>
        <w:rPr>
          <w:rStyle w:val="Kommentinviite"/>
        </w:rPr>
        <w:annotationRef/>
      </w:r>
      <w:r w:rsidR="002B01A0">
        <w:rPr>
          <w:b/>
          <w:bCs/>
        </w:rPr>
        <w:t xml:space="preserve">Actions taken could be for example: </w:t>
      </w:r>
    </w:p>
    <w:p w14:paraId="3D87C9C2" w14:textId="77777777" w:rsidR="002B01A0" w:rsidRDefault="002B01A0" w:rsidP="002B01A0">
      <w:pPr>
        <w:pStyle w:val="Kommentinteksti"/>
        <w:ind w:left="300"/>
      </w:pPr>
      <w:r>
        <w:t>Partial or complete clinical trial suspension, temporary halts of recruitment and/or treatment, early trial termination for safety reasons or lack of efficacy; recalls; protocol modifications due to safety or efficacy concerns (e.g., dosage changes, changes in study inclusion/exclusion criteria, intensification of subject monitoring, limitation in trial duration); restriction in study population, changes to the informed consent document relating to safety issues; issuance of a communication to investigators or healthcare professionals, Urgent safety measures, serious breaches or unexpected event notifications</w:t>
      </w:r>
    </w:p>
  </w:comment>
  <w:comment w:id="18" w:author="Author" w:initials="A">
    <w:p w14:paraId="7EAC214D" w14:textId="77777777" w:rsidR="0016082D" w:rsidRDefault="00B3141F" w:rsidP="0016082D">
      <w:pPr>
        <w:pStyle w:val="Kommentinteksti"/>
      </w:pPr>
      <w:r>
        <w:rPr>
          <w:rStyle w:val="Kommentinviite"/>
        </w:rPr>
        <w:annotationRef/>
      </w:r>
      <w:r w:rsidR="0016082D">
        <w:rPr>
          <w:color w:val="222222"/>
        </w:rPr>
        <w:t>The RSI is used during the entire reporting period of the ASR to determine whether an adverse event is "expected" or "unexpected”.</w:t>
      </w:r>
    </w:p>
    <w:p w14:paraId="2C8681C8" w14:textId="77777777" w:rsidR="0016082D" w:rsidRDefault="0016082D" w:rsidP="0016082D">
      <w:pPr>
        <w:pStyle w:val="Kommentinteksti"/>
      </w:pPr>
      <w:r>
        <w:rPr>
          <w:color w:val="222222"/>
        </w:rPr>
        <w:t xml:space="preserve">See section 7 of </w:t>
      </w:r>
      <w:hyperlink r:id="rId1" w:history="1">
        <w:r w:rsidRPr="00134DC1">
          <w:rPr>
            <w:rStyle w:val="Hyperlinkki"/>
          </w:rPr>
          <w:t xml:space="preserve"> Q&amp;A document - Regulation (EU) 536/2014</w:t>
        </w:r>
      </w:hyperlink>
      <w:r>
        <w:t>.</w:t>
      </w:r>
    </w:p>
    <w:p w14:paraId="3F2DA468" w14:textId="77777777" w:rsidR="0016082D" w:rsidRDefault="0016082D" w:rsidP="0016082D">
      <w:pPr>
        <w:pStyle w:val="Kommentinteksti"/>
      </w:pPr>
    </w:p>
    <w:p w14:paraId="5508FFF3" w14:textId="77777777" w:rsidR="0016082D" w:rsidRDefault="0016082D" w:rsidP="0016082D">
      <w:pPr>
        <w:pStyle w:val="Kommentinteksti"/>
      </w:pPr>
      <w:r>
        <w:t>Please note that the RSI should be provided as an appendix or as a separate document with the ASR submission.</w:t>
      </w:r>
    </w:p>
    <w:p w14:paraId="554FE2C5" w14:textId="77777777" w:rsidR="0016082D" w:rsidRDefault="0016082D" w:rsidP="0016082D">
      <w:pPr>
        <w:pStyle w:val="Kommentinteksti"/>
      </w:pPr>
    </w:p>
    <w:p w14:paraId="74BB8311" w14:textId="77777777" w:rsidR="0016082D" w:rsidRDefault="0016082D" w:rsidP="0016082D">
      <w:pPr>
        <w:pStyle w:val="Kommentinteksti"/>
      </w:pPr>
      <w:r>
        <w:t xml:space="preserve">Only a single RSI can be used for each active substance at a specific point in time. In case the RSI was updated during the reporting period, the old and new version should be indicated. </w:t>
      </w:r>
    </w:p>
    <w:p w14:paraId="58A02BC5" w14:textId="77777777" w:rsidR="0016082D" w:rsidRDefault="0016082D" w:rsidP="0016082D">
      <w:pPr>
        <w:pStyle w:val="Kommentinteksti"/>
      </w:pPr>
      <w:r>
        <w:t>In cases where there are multiple active substances, and consequently multiple RSIs, this section should be duplicated and filled out separately for each RSI.</w:t>
      </w:r>
    </w:p>
    <w:p w14:paraId="13BC0381" w14:textId="77777777" w:rsidR="0016082D" w:rsidRDefault="0016082D" w:rsidP="0016082D">
      <w:pPr>
        <w:pStyle w:val="Kommentinteksti"/>
      </w:pPr>
    </w:p>
    <w:p w14:paraId="2EDF24A9" w14:textId="77777777" w:rsidR="0016082D" w:rsidRDefault="0016082D" w:rsidP="0016082D">
      <w:pPr>
        <w:pStyle w:val="Kommentinteksti"/>
      </w:pPr>
      <w:r>
        <w:t>If the SmPC has been updated by the MAH during the reporting period but the sponsor chooses not to update the RSI, add the rationale to this section.</w:t>
      </w:r>
    </w:p>
    <w:p w14:paraId="418E3518" w14:textId="77777777" w:rsidR="0016082D" w:rsidRDefault="0016082D" w:rsidP="0016082D">
      <w:pPr>
        <w:pStyle w:val="Kommentinteksti"/>
      </w:pPr>
    </w:p>
    <w:p w14:paraId="0AA61A5B" w14:textId="77777777" w:rsidR="0016082D" w:rsidRDefault="0016082D" w:rsidP="0016082D">
      <w:pPr>
        <w:pStyle w:val="Kommentinteksti"/>
      </w:pPr>
      <w:r>
        <w:t>If other sections of the SmPC have been updated by the MAH during the reporting period and this information has led to an update of the study documents (e.g. warnings) this should be described section 3.</w:t>
      </w:r>
    </w:p>
  </w:comment>
  <w:comment w:id="19" w:author="Author" w:initials="A">
    <w:p w14:paraId="3EE52F05" w14:textId="0E4572A4" w:rsidR="00D06E53" w:rsidRDefault="00B3141F" w:rsidP="00D06E53">
      <w:pPr>
        <w:pStyle w:val="Kommentinteksti"/>
      </w:pPr>
      <w:r>
        <w:rPr>
          <w:rStyle w:val="Kommentinviite"/>
        </w:rPr>
        <w:annotationRef/>
      </w:r>
      <w:r w:rsidR="00D06E53">
        <w:t>The new version is the RSI, approved within a substantial modification, on which this ASR is based on.</w:t>
      </w:r>
    </w:p>
  </w:comment>
  <w:comment w:id="20" w:author="Author" w:initials="A">
    <w:p w14:paraId="26B810C2" w14:textId="77777777" w:rsidR="004F1FE8" w:rsidRDefault="004F1FE8" w:rsidP="004F1FE8">
      <w:pPr>
        <w:pStyle w:val="Kommentinteksti"/>
      </w:pPr>
      <w:r>
        <w:rPr>
          <w:rStyle w:val="Kommentinviite"/>
        </w:rPr>
        <w:annotationRef/>
      </w:r>
      <w:r>
        <w:t>Please either specify the number of the substantial modification under which the updated SmPC was submitted, or, if it has not yet been submitted, provide a commitment to submit it with the next substantial modification.</w:t>
      </w:r>
    </w:p>
    <w:p w14:paraId="7E67BB0A" w14:textId="77777777" w:rsidR="004F1FE8" w:rsidRDefault="004F1FE8" w:rsidP="004F1FE8">
      <w:pPr>
        <w:pStyle w:val="Kommentinteksti"/>
      </w:pPr>
    </w:p>
    <w:p w14:paraId="3E09E895" w14:textId="77777777" w:rsidR="004F1FE8" w:rsidRDefault="004F1FE8" w:rsidP="004F1FE8">
      <w:pPr>
        <w:pStyle w:val="Kommentinteksti"/>
      </w:pPr>
      <w:r>
        <w:t>Please select the sentence that best fits your situation and  delete the other.</w:t>
      </w:r>
    </w:p>
  </w:comment>
  <w:comment w:id="22" w:author="Author" w:initials="A">
    <w:p w14:paraId="7949B6EB" w14:textId="6E112D67" w:rsidR="00710AA7" w:rsidRDefault="004677F3">
      <w:pPr>
        <w:pStyle w:val="Kommentinteksti"/>
      </w:pPr>
      <w:r>
        <w:rPr>
          <w:rStyle w:val="Kommentinviite"/>
        </w:rPr>
        <w:annotationRef/>
      </w:r>
      <w:r w:rsidRPr="00380DE8">
        <w:rPr>
          <w:rFonts w:ascii="Arial" w:hAnsi="Arial" w:cs="Arial"/>
        </w:rPr>
        <w:t>Ongoing = clinical trial has started (first patient included); has started but is currently on hold; has ended (in most cases last patient last visit) but clinical study report has not been finalized</w:t>
      </w:r>
      <w:r>
        <w:rPr>
          <w:rFonts w:ascii="Arial" w:hAnsi="Arial" w:cs="Arial"/>
        </w:rPr>
        <w:t>.</w:t>
      </w:r>
    </w:p>
  </w:comment>
  <w:comment w:id="23" w:author="Author" w:initials="A">
    <w:p w14:paraId="1BFB48FD" w14:textId="77777777" w:rsidR="00B46BB5" w:rsidRPr="00380DE8" w:rsidRDefault="00B46BB5" w:rsidP="00B3141F">
      <w:pPr>
        <w:pStyle w:val="Kommentinteksti"/>
        <w:rPr>
          <w:rFonts w:ascii="Arial" w:hAnsi="Arial" w:cs="Arial"/>
        </w:rPr>
      </w:pPr>
      <w:r>
        <w:rPr>
          <w:rStyle w:val="Kommentinviite"/>
        </w:rPr>
        <w:annotationRef/>
      </w:r>
      <w:r w:rsidRPr="00380DE8">
        <w:rPr>
          <w:rFonts w:ascii="Arial" w:hAnsi="Arial" w:cs="Arial"/>
        </w:rPr>
        <w:t>Choose uncontrolled, controlled, open, single blind, double blind, parallel, cross-over, etc., including treatment arms</w:t>
      </w:r>
    </w:p>
    <w:p w14:paraId="122BCFE1" w14:textId="77777777" w:rsidR="00710AA7" w:rsidRDefault="00710AA7" w:rsidP="00B3141F">
      <w:pPr>
        <w:pStyle w:val="Kommentinteksti"/>
      </w:pPr>
    </w:p>
  </w:comment>
  <w:comment w:id="24" w:author="Author" w:initials="A">
    <w:p w14:paraId="35D2A688" w14:textId="77777777" w:rsidR="00B46BB5" w:rsidRPr="00380DE8" w:rsidRDefault="00B46BB5" w:rsidP="00B3141F">
      <w:pPr>
        <w:pStyle w:val="Kommentinteksti"/>
        <w:rPr>
          <w:rFonts w:ascii="Arial" w:hAnsi="Arial" w:cs="Arial"/>
        </w:rPr>
      </w:pPr>
      <w:r>
        <w:rPr>
          <w:rStyle w:val="Kommentinviite"/>
        </w:rPr>
        <w:annotationRef/>
      </w:r>
      <w:r w:rsidRPr="00380DE8">
        <w:rPr>
          <w:rFonts w:ascii="Arial" w:hAnsi="Arial" w:cs="Arial"/>
        </w:rPr>
        <w:t>Indicate age group, gender, indications, specific patient groups, if applicable.</w:t>
      </w:r>
    </w:p>
    <w:p w14:paraId="6D4B874B" w14:textId="77777777" w:rsidR="00710AA7" w:rsidRDefault="00710AA7" w:rsidP="00B3141F">
      <w:pPr>
        <w:pStyle w:val="Kommentinteksti"/>
      </w:pPr>
    </w:p>
  </w:comment>
  <w:comment w:id="25" w:author="Author" w:initials="A">
    <w:p w14:paraId="4BFFB76F" w14:textId="77777777" w:rsidR="002B01A0" w:rsidRDefault="00D37E51" w:rsidP="002B01A0">
      <w:pPr>
        <w:pStyle w:val="Kommentinteksti"/>
      </w:pPr>
      <w:r>
        <w:rPr>
          <w:rStyle w:val="Kommentinviite"/>
        </w:rPr>
        <w:annotationRef/>
      </w:r>
      <w:r w:rsidR="002B01A0">
        <w:t>Number of Subjects that are planned to be included into the clinical trial per treatment arm.</w:t>
      </w:r>
    </w:p>
  </w:comment>
  <w:comment w:id="26" w:author="Author" w:initials="A">
    <w:p w14:paraId="60E197CA" w14:textId="77777777" w:rsidR="002B01A0" w:rsidRDefault="00B46BB5" w:rsidP="002B01A0">
      <w:pPr>
        <w:pStyle w:val="Kommentinteksti"/>
      </w:pPr>
      <w:r>
        <w:rPr>
          <w:rStyle w:val="Kommentinviite"/>
        </w:rPr>
        <w:annotationRef/>
      </w:r>
      <w:r w:rsidR="002B01A0">
        <w:t>Provide the number of subjects who were actually exposed to each treatment from the authorization of the clinical trial up to the data lock point of the current ASR.</w:t>
      </w:r>
    </w:p>
    <w:p w14:paraId="498917E5" w14:textId="77777777" w:rsidR="002B01A0" w:rsidRDefault="002B01A0" w:rsidP="002B01A0">
      <w:pPr>
        <w:pStyle w:val="Kommentinteksti"/>
      </w:pPr>
      <w:r>
        <w:t xml:space="preserve"> </w:t>
      </w:r>
    </w:p>
    <w:p w14:paraId="390CFC8F" w14:textId="77777777" w:rsidR="002B01A0" w:rsidRDefault="002B01A0" w:rsidP="002B01A0">
      <w:pPr>
        <w:pStyle w:val="Kommentinteksti"/>
      </w:pPr>
      <w:r>
        <w:t>In case of blinded trials, an estimate based on the randomization scheme for blinded trials should be provided.</w:t>
      </w:r>
    </w:p>
  </w:comment>
  <w:comment w:id="29" w:author="Author" w:initials="A">
    <w:p w14:paraId="57208CCF" w14:textId="77777777" w:rsidR="002B01A0" w:rsidRDefault="004C5204" w:rsidP="002B01A0">
      <w:pPr>
        <w:pStyle w:val="Kommentinteksti"/>
      </w:pPr>
      <w:r>
        <w:rPr>
          <w:rStyle w:val="Kommentinviite"/>
        </w:rPr>
        <w:annotationRef/>
      </w:r>
      <w:r w:rsidR="002B01A0">
        <w:t>Provide the number of subjects who were actually exposed to each treatment from the authorization of the clinical trial up to the data lock point of the current ASR, rather than the name of the IMP.</w:t>
      </w:r>
    </w:p>
    <w:p w14:paraId="16C6D305" w14:textId="77777777" w:rsidR="002B01A0" w:rsidRDefault="002B01A0" w:rsidP="002B01A0">
      <w:pPr>
        <w:pStyle w:val="Kommentinteksti"/>
      </w:pPr>
    </w:p>
    <w:p w14:paraId="649A16EB" w14:textId="77777777" w:rsidR="002B01A0" w:rsidRDefault="002B01A0" w:rsidP="002B01A0">
      <w:pPr>
        <w:pStyle w:val="Kommentinteksti"/>
      </w:pPr>
      <w:r>
        <w:t>For blinded trials, an estimate based on the randomization scheme should be included.</w:t>
      </w:r>
    </w:p>
    <w:p w14:paraId="066E26BE" w14:textId="77777777" w:rsidR="002B01A0" w:rsidRDefault="002B01A0" w:rsidP="002B01A0">
      <w:pPr>
        <w:pStyle w:val="Kommentinteksti"/>
      </w:pPr>
    </w:p>
    <w:p w14:paraId="7BC7E355" w14:textId="77777777" w:rsidR="002B01A0" w:rsidRDefault="002B01A0" w:rsidP="002B01A0">
      <w:pPr>
        <w:pStyle w:val="Kommentinteksti"/>
      </w:pPr>
      <w:r>
        <w:t>This number will be equal to the number reported in the "subject exposure" column in section 5.</w:t>
      </w:r>
    </w:p>
  </w:comment>
  <w:comment w:id="33" w:author="Author" w:initials="A">
    <w:p w14:paraId="228C27D7" w14:textId="77777777" w:rsidR="00746656" w:rsidRDefault="00833E69" w:rsidP="00746656">
      <w:pPr>
        <w:pStyle w:val="Kommentinteksti"/>
      </w:pPr>
      <w:r>
        <w:rPr>
          <w:rStyle w:val="Kommentinviite"/>
        </w:rPr>
        <w:annotationRef/>
      </w:r>
      <w:r w:rsidR="00746656">
        <w:t>If the Medical Dictionary for Regulatory Activities (MedDRA) terminology is used for coding the adverse event/reaction terms, the Preferred Term level should be presented in the line listings and summary tabulations.</w:t>
      </w:r>
    </w:p>
    <w:p w14:paraId="75E1214B" w14:textId="77777777" w:rsidR="00746656" w:rsidRDefault="00746656" w:rsidP="00746656">
      <w:pPr>
        <w:pStyle w:val="Kommentinteksti"/>
      </w:pPr>
    </w:p>
    <w:p w14:paraId="36D55A7F" w14:textId="77777777" w:rsidR="00746656" w:rsidRDefault="00746656" w:rsidP="00746656">
      <w:pPr>
        <w:pStyle w:val="Kommentinteksti"/>
      </w:pPr>
      <w:r>
        <w:t>If a coding dictionary other than MeDRA was used, please replace MeDRA with the name of the dictionary that was utilized.</w:t>
      </w:r>
    </w:p>
  </w:comment>
  <w:comment w:id="35" w:author="Author" w:initials="A">
    <w:p w14:paraId="39561B62" w14:textId="6CBB6F4D" w:rsidR="00710AA7" w:rsidRDefault="00B46BB5">
      <w:pPr>
        <w:pStyle w:val="Kommentinteksti"/>
      </w:pPr>
      <w:r>
        <w:rPr>
          <w:rStyle w:val="Kommentinviite"/>
        </w:rPr>
        <w:annotationRef/>
      </w:r>
      <w:r w:rsidRPr="00512BEE">
        <w:rPr>
          <w:rFonts w:ascii="Arial" w:hAnsi="Arial" w:cs="Arial"/>
        </w:rPr>
        <w:t>It is allowed to add line listings as appendix instead of completing the table.</w:t>
      </w:r>
    </w:p>
  </w:comment>
  <w:comment w:id="36" w:author="Author" w:initials="A">
    <w:p w14:paraId="049C2530" w14:textId="77777777" w:rsidR="00182DA4" w:rsidRDefault="00512BEE" w:rsidP="00182DA4">
      <w:pPr>
        <w:pStyle w:val="Kommentinteksti"/>
      </w:pPr>
      <w:r>
        <w:rPr>
          <w:rStyle w:val="Kommentinviite"/>
        </w:rPr>
        <w:annotationRef/>
      </w:r>
      <w:r w:rsidR="00182DA4">
        <w:t>The data should be organized by trial and then by System Organ Class (SOC) if MedDRA terminology is used.</w:t>
      </w:r>
    </w:p>
    <w:p w14:paraId="754B4F9E" w14:textId="77777777" w:rsidR="00182DA4" w:rsidRDefault="00182DA4" w:rsidP="00182DA4">
      <w:pPr>
        <w:pStyle w:val="Kommentinteksti"/>
      </w:pPr>
    </w:p>
    <w:p w14:paraId="7262A8B7" w14:textId="77777777" w:rsidR="00182DA4" w:rsidRDefault="00182DA4" w:rsidP="00182DA4">
      <w:pPr>
        <w:pStyle w:val="Kommentinteksti"/>
      </w:pPr>
      <w:r>
        <w:t>A SAR is a Serious Adverse Reaction and is defined as any noxious and unintended response to an IMP related to any dose administered that results in death, is life-threatening, requires inpatient hospitalization or prolongation of existing hospitalization, results in persistent or significant disability or incapacity, or is a congenital anomaly or birth defect.</w:t>
      </w:r>
    </w:p>
  </w:comment>
  <w:comment w:id="37" w:author="Author" w:initials="A">
    <w:p w14:paraId="4DEF7B93" w14:textId="08E404F0" w:rsidR="00512BEE" w:rsidRPr="00380DE8" w:rsidRDefault="00512BEE" w:rsidP="00512BEE">
      <w:pPr>
        <w:pStyle w:val="Kommentinteksti"/>
        <w:rPr>
          <w:rFonts w:ascii="Arial" w:hAnsi="Arial" w:cs="Arial"/>
        </w:rPr>
      </w:pPr>
      <w:r>
        <w:rPr>
          <w:rStyle w:val="Kommentinviite"/>
        </w:rPr>
        <w:annotationRef/>
      </w:r>
      <w:r w:rsidRPr="00380DE8">
        <w:rPr>
          <w:rFonts w:ascii="Arial" w:hAnsi="Arial" w:cs="Arial"/>
        </w:rPr>
        <w:t>Choose resolved, fatal, improved, sequelae, unknown</w:t>
      </w:r>
    </w:p>
    <w:p w14:paraId="7764A36C" w14:textId="77777777" w:rsidR="00710AA7" w:rsidRDefault="00710AA7" w:rsidP="00512BEE">
      <w:pPr>
        <w:pStyle w:val="Kommentinteksti"/>
      </w:pPr>
    </w:p>
  </w:comment>
  <w:comment w:id="39" w:author="Author" w:initials="A">
    <w:p w14:paraId="6EC27CCC" w14:textId="77777777" w:rsidR="00450A32" w:rsidRDefault="004517FC" w:rsidP="00450A32">
      <w:pPr>
        <w:pStyle w:val="Kommentinteksti"/>
      </w:pPr>
      <w:r>
        <w:rPr>
          <w:rStyle w:val="Kommentinviite"/>
        </w:rPr>
        <w:annotationRef/>
      </w:r>
      <w:r w:rsidR="00450A32">
        <w:t>Choose relevant columns according to your trial design and provide patient exposure per column.</w:t>
      </w:r>
    </w:p>
    <w:p w14:paraId="363A8789" w14:textId="77777777" w:rsidR="00450A32" w:rsidRDefault="00450A32" w:rsidP="00450A32">
      <w:pPr>
        <w:pStyle w:val="Kommentinteksti"/>
      </w:pPr>
    </w:p>
    <w:p w14:paraId="53447089" w14:textId="77777777" w:rsidR="00450A32" w:rsidRDefault="00450A32" w:rsidP="00450A32">
      <w:pPr>
        <w:pStyle w:val="Kommentinteksti"/>
      </w:pPr>
      <w:r>
        <w:t>A SAE is a Serious Adverse Event and defined as any untoward medical occurrence or effect that at any dose requires inpatient hospitalization or prolongation of existing hospitalization, results in persistent or significant disability or incapacity, results in a congenital anomaly or birth defect, is life-threatening or results in death.</w:t>
      </w:r>
    </w:p>
  </w:comment>
  <w:comment w:id="40" w:author="Author" w:initials="A">
    <w:p w14:paraId="039E1582" w14:textId="6AD10ACB" w:rsidR="00710AA7" w:rsidRDefault="004517FC">
      <w:pPr>
        <w:pStyle w:val="Kommentinteksti"/>
      </w:pPr>
      <w:r>
        <w:rPr>
          <w:rStyle w:val="Kommentinviite"/>
        </w:rPr>
        <w:annotationRef/>
      </w:r>
      <w:r w:rsidRPr="004677F3">
        <w:rPr>
          <w:rFonts w:ascii="Arial" w:hAnsi="Arial" w:cs="Arial"/>
        </w:rPr>
        <w:t>This row is an example and must be deleted</w:t>
      </w:r>
      <w:r w:rsidR="00512BEE">
        <w:rPr>
          <w:rFonts w:ascii="Arial" w:hAnsi="Arial" w:cs="Arial"/>
        </w:rPr>
        <w:t>.</w:t>
      </w:r>
    </w:p>
  </w:comment>
  <w:comment w:id="41" w:author="Author" w:initials="A">
    <w:p w14:paraId="7549D51D" w14:textId="77777777" w:rsidR="00C777A6" w:rsidRDefault="00EC5BFF" w:rsidP="00C777A6">
      <w:pPr>
        <w:pStyle w:val="Kommentinteksti"/>
      </w:pPr>
      <w:r>
        <w:rPr>
          <w:rStyle w:val="Kommentinviite"/>
        </w:rPr>
        <w:annotationRef/>
      </w:r>
      <w:r w:rsidR="00C777A6">
        <w:t xml:space="preserve">The total number of SAEs that occurred per treatment from the trial authorization to the data lock point should be included in the bottom row. </w:t>
      </w:r>
    </w:p>
  </w:comment>
  <w:comment w:id="51" w:author="Author" w:initials="A">
    <w:p w14:paraId="62ABD89E" w14:textId="0B644906" w:rsidR="00710AA7" w:rsidRDefault="003D1228">
      <w:pPr>
        <w:pStyle w:val="Kommentinteksti"/>
      </w:pPr>
      <w:r>
        <w:rPr>
          <w:rStyle w:val="Kommentinviite"/>
        </w:rPr>
        <w:annotationRef/>
      </w:r>
      <w:r w:rsidRPr="004677F3">
        <w:rPr>
          <w:rFonts w:ascii="Arial" w:hAnsi="Arial" w:cs="Arial"/>
        </w:rPr>
        <w:t xml:space="preserve">This information can be found on the internet via EMA </w:t>
      </w:r>
      <w:hyperlink r:id="rId2" w:history="1">
        <w:r w:rsidRPr="004677F3">
          <w:rPr>
            <w:rStyle w:val="Hyperlinkki"/>
            <w:rFonts w:ascii="Arial" w:hAnsi="Arial" w:cs="Arial"/>
          </w:rPr>
          <w:t>Medicines | European Medicines Agency</w:t>
        </w:r>
      </w:hyperlink>
      <w:r w:rsidRPr="004677F3">
        <w:rPr>
          <w:rFonts w:ascii="Arial" w:hAnsi="Arial" w:cs="Arial"/>
        </w:rPr>
        <w:t xml:space="preserve"> or your local Health Authority website.</w:t>
      </w:r>
    </w:p>
  </w:comment>
  <w:comment w:id="54" w:author="Author" w:initials="A">
    <w:p w14:paraId="75A20EAB" w14:textId="77777777" w:rsidR="00F64D19" w:rsidRDefault="004517FC" w:rsidP="00F64D19">
      <w:pPr>
        <w:pStyle w:val="Kommentinteksti"/>
      </w:pPr>
      <w:r>
        <w:rPr>
          <w:rStyle w:val="Kommentinviite"/>
        </w:rPr>
        <w:annotationRef/>
      </w:r>
      <w:r w:rsidR="00F64D19">
        <w:t>In case of relevant safety findings, please describe these findings.</w:t>
      </w:r>
    </w:p>
  </w:comment>
  <w:comment w:id="55" w:author="Author" w:initials="A">
    <w:p w14:paraId="5F6CCC14" w14:textId="77777777" w:rsidR="002276FB" w:rsidRDefault="00F124A1" w:rsidP="002276FB">
      <w:pPr>
        <w:pStyle w:val="Kommentinteksti"/>
      </w:pPr>
      <w:r>
        <w:rPr>
          <w:rStyle w:val="Kommentinviite"/>
        </w:rPr>
        <w:annotationRef/>
      </w:r>
      <w:r w:rsidR="002276FB">
        <w:t>If literature references are included in this section, a summary of the article should be provided, highlighting the conclusions related to safety findings and their relevance to the study.</w:t>
      </w:r>
    </w:p>
  </w:comment>
  <w:comment w:id="58" w:author="Author" w:initials="A">
    <w:p w14:paraId="6519BE30" w14:textId="3A012CF0" w:rsidR="00710AA7" w:rsidRDefault="00B46BB5">
      <w:pPr>
        <w:pStyle w:val="Kommentinteksti"/>
      </w:pPr>
      <w:r>
        <w:rPr>
          <w:rStyle w:val="Kommentinviite"/>
        </w:rPr>
        <w:annotationRef/>
      </w:r>
      <w:r w:rsidRPr="00FE02BE">
        <w:rPr>
          <w:rFonts w:ascii="Arial" w:hAnsi="Arial" w:cs="Arial"/>
        </w:rPr>
        <w:t>Data indicating lack of efficacy or lack of efficacy relative to established therapy(ies).</w:t>
      </w:r>
    </w:p>
  </w:comment>
  <w:comment w:id="60" w:author="Author" w:initials="A">
    <w:p w14:paraId="47090230" w14:textId="77777777" w:rsidR="002276FB" w:rsidRDefault="006F7575" w:rsidP="002276FB">
      <w:pPr>
        <w:pStyle w:val="Kommentinteksti"/>
      </w:pPr>
      <w:r>
        <w:rPr>
          <w:rStyle w:val="Kommentinviite"/>
        </w:rPr>
        <w:annotationRef/>
      </w:r>
      <w:r w:rsidR="002276FB">
        <w:t xml:space="preserve">Choose relevant columns according to your trial design and provide patient exposure per column. </w:t>
      </w:r>
    </w:p>
  </w:comment>
  <w:comment w:id="61" w:author="Author" w:initials="A">
    <w:p w14:paraId="3FA5B504" w14:textId="77777777" w:rsidR="002276FB" w:rsidRDefault="006F7575" w:rsidP="002276FB">
      <w:pPr>
        <w:pStyle w:val="Kommentinteksti"/>
      </w:pPr>
      <w:r>
        <w:rPr>
          <w:rStyle w:val="Kommentinviite"/>
        </w:rPr>
        <w:annotationRef/>
      </w:r>
      <w:r w:rsidR="002276FB">
        <w:t>This row is an example and must be deleted.</w:t>
      </w:r>
    </w:p>
  </w:comment>
  <w:comment w:id="62" w:author="Author" w:initials="A">
    <w:p w14:paraId="531E4287" w14:textId="77777777" w:rsidR="001A2378" w:rsidRDefault="006F7575" w:rsidP="001A2378">
      <w:pPr>
        <w:pStyle w:val="Kommentinteksti"/>
      </w:pPr>
      <w:r>
        <w:rPr>
          <w:rStyle w:val="Kommentinviite"/>
        </w:rPr>
        <w:annotationRef/>
      </w:r>
      <w:r w:rsidR="001A2378">
        <w:t xml:space="preserve">The total number of SARs that occurred per treatment from the trial authorization to the data lock point should be included in the bottom row. </w:t>
      </w:r>
    </w:p>
  </w:comment>
  <w:comment w:id="66" w:author="Author" w:initials="A">
    <w:p w14:paraId="44621704" w14:textId="645C61B3" w:rsidR="0088660B" w:rsidRDefault="00FB43B7" w:rsidP="0088660B">
      <w:pPr>
        <w:pStyle w:val="Kommentinteksti"/>
      </w:pPr>
      <w:r>
        <w:rPr>
          <w:rStyle w:val="Kommentinviite"/>
        </w:rPr>
        <w:annotationRef/>
      </w:r>
      <w:r w:rsidR="0088660B">
        <w:t>Relevant points to consider include for example:</w:t>
      </w:r>
    </w:p>
    <w:p w14:paraId="0219C48E" w14:textId="77777777" w:rsidR="0088660B" w:rsidRDefault="0088660B" w:rsidP="0088660B">
      <w:pPr>
        <w:pStyle w:val="Kommentinteksti"/>
        <w:numPr>
          <w:ilvl w:val="0"/>
          <w:numId w:val="15"/>
        </w:numPr>
      </w:pPr>
      <w:r>
        <w:t xml:space="preserve"> newly identified safety issues (detailed description of adverse events or reactions; associated laboratory values; risk factors; relationship to dose, duration, time course of the treatment; reversibility; factors that could be useful in predicting or preventing reactions); </w:t>
      </w:r>
    </w:p>
    <w:p w14:paraId="319635BB" w14:textId="77777777" w:rsidR="0088660B" w:rsidRDefault="0088660B" w:rsidP="0088660B">
      <w:pPr>
        <w:pStyle w:val="Kommentinteksti"/>
        <w:numPr>
          <w:ilvl w:val="0"/>
          <w:numId w:val="15"/>
        </w:numPr>
      </w:pPr>
      <w:r>
        <w:t xml:space="preserve">meaningful changes in previously identified adverse reactions (e.g., increased frequency or severity, outcome, specific at-risk populations); </w:t>
      </w:r>
    </w:p>
    <w:p w14:paraId="6A981EF9" w14:textId="77777777" w:rsidR="0088660B" w:rsidRDefault="0088660B" w:rsidP="0088660B">
      <w:pPr>
        <w:pStyle w:val="Kommentinteksti"/>
        <w:numPr>
          <w:ilvl w:val="0"/>
          <w:numId w:val="15"/>
        </w:numPr>
      </w:pPr>
      <w:r>
        <w:t xml:space="preserve">symptoms, signs, and laboratory evidence of newly and previously identified clinically significant toxicities </w:t>
      </w:r>
    </w:p>
    <w:p w14:paraId="68E937B5" w14:textId="77777777" w:rsidR="0088660B" w:rsidRDefault="0088660B" w:rsidP="0088660B">
      <w:pPr>
        <w:pStyle w:val="Kommentinteksti"/>
        <w:numPr>
          <w:ilvl w:val="0"/>
          <w:numId w:val="15"/>
        </w:numPr>
      </w:pPr>
      <w:r>
        <w:t>deaths that are an outcome of an adverse event;</w:t>
      </w:r>
    </w:p>
    <w:p w14:paraId="560B0141" w14:textId="77777777" w:rsidR="0088660B" w:rsidRDefault="0088660B" w:rsidP="0088660B">
      <w:pPr>
        <w:pStyle w:val="Kommentinteksti"/>
        <w:numPr>
          <w:ilvl w:val="0"/>
          <w:numId w:val="15"/>
        </w:numPr>
      </w:pPr>
      <w:r>
        <w:t xml:space="preserve">study drug discontinuations because  of adverse events, including abnormal laboratory values or investigations </w:t>
      </w:r>
    </w:p>
    <w:p w14:paraId="7F3C0708" w14:textId="77777777" w:rsidR="0088660B" w:rsidRDefault="0088660B" w:rsidP="0088660B">
      <w:pPr>
        <w:pStyle w:val="Kommentinteksti"/>
        <w:numPr>
          <w:ilvl w:val="0"/>
          <w:numId w:val="15"/>
        </w:numPr>
      </w:pPr>
      <w:r>
        <w:t>drug–drug and other interactions;</w:t>
      </w:r>
    </w:p>
    <w:p w14:paraId="3CE6B7BD" w14:textId="77777777" w:rsidR="0088660B" w:rsidRDefault="0088660B" w:rsidP="0088660B">
      <w:pPr>
        <w:pStyle w:val="Kommentinteksti"/>
        <w:numPr>
          <w:ilvl w:val="0"/>
          <w:numId w:val="15"/>
        </w:numPr>
      </w:pPr>
      <w:r>
        <w:t xml:space="preserve">important non-clinical safety findings; </w:t>
      </w:r>
    </w:p>
    <w:p w14:paraId="7A23B4FC" w14:textId="77777777" w:rsidR="0088660B" w:rsidRDefault="0088660B" w:rsidP="0088660B">
      <w:pPr>
        <w:pStyle w:val="Kommentinteksti"/>
        <w:numPr>
          <w:ilvl w:val="0"/>
          <w:numId w:val="15"/>
        </w:numPr>
      </w:pPr>
      <w:r>
        <w:t>any specific safety issues related to special populations, such as the elderly, children, patients with hepatic or renal impairment, or any other at-risk groups (e.g., slow or fast metabolisers);</w:t>
      </w:r>
    </w:p>
    <w:p w14:paraId="46E313E5" w14:textId="77777777" w:rsidR="0088660B" w:rsidRDefault="0088660B" w:rsidP="0088660B">
      <w:pPr>
        <w:pStyle w:val="Kommentinteksti"/>
        <w:numPr>
          <w:ilvl w:val="0"/>
          <w:numId w:val="15"/>
        </w:numPr>
      </w:pPr>
      <w:r>
        <w:t xml:space="preserve">pregnancy and lactation exposure and outcomes; </w:t>
      </w:r>
    </w:p>
    <w:p w14:paraId="107F04D9" w14:textId="77777777" w:rsidR="0088660B" w:rsidRDefault="0088660B" w:rsidP="0088660B">
      <w:pPr>
        <w:pStyle w:val="Kommentinteksti"/>
        <w:numPr>
          <w:ilvl w:val="0"/>
          <w:numId w:val="15"/>
        </w:numPr>
      </w:pPr>
      <w:r>
        <w:t xml:space="preserve">evidence of clinically significant medication errors; </w:t>
      </w:r>
    </w:p>
    <w:p w14:paraId="73E9A556" w14:textId="77777777" w:rsidR="0088660B" w:rsidRDefault="0088660B" w:rsidP="0088660B">
      <w:pPr>
        <w:pStyle w:val="Kommentinteksti"/>
        <w:numPr>
          <w:ilvl w:val="0"/>
          <w:numId w:val="15"/>
        </w:numPr>
      </w:pPr>
      <w:r>
        <w:t xml:space="preserve">evidence of lack of patient compliance; </w:t>
      </w:r>
    </w:p>
    <w:p w14:paraId="6578D065" w14:textId="77777777" w:rsidR="0088660B" w:rsidRDefault="0088660B" w:rsidP="0088660B">
      <w:pPr>
        <w:pStyle w:val="Kommentinteksti"/>
        <w:numPr>
          <w:ilvl w:val="0"/>
          <w:numId w:val="15"/>
        </w:numPr>
      </w:pPr>
      <w:r>
        <w:t xml:space="preserve">experience with overdose and its treatment; </w:t>
      </w:r>
    </w:p>
    <w:p w14:paraId="66DFB224" w14:textId="77777777" w:rsidR="0088660B" w:rsidRDefault="0088660B" w:rsidP="0088660B">
      <w:pPr>
        <w:pStyle w:val="Kommentinteksti"/>
        <w:numPr>
          <w:ilvl w:val="0"/>
          <w:numId w:val="15"/>
        </w:numPr>
      </w:pPr>
      <w:r>
        <w:t>occurrences of drug misuse and abuse;</w:t>
      </w:r>
    </w:p>
    <w:p w14:paraId="2EC20E28" w14:textId="77777777" w:rsidR="0088660B" w:rsidRDefault="0088660B" w:rsidP="0088660B">
      <w:pPr>
        <w:pStyle w:val="Kommentinteksti"/>
        <w:numPr>
          <w:ilvl w:val="0"/>
          <w:numId w:val="15"/>
        </w:numPr>
      </w:pPr>
      <w:r>
        <w:t>any safety issues resulting from procedures required by the protocol (e.g., bronchoscopy, biopsy, central line insertion) or associated with the conduct or design of a particular study (e.g., inadequate subject monitoring schedule, excessive period without active treatment); and</w:t>
      </w:r>
    </w:p>
    <w:p w14:paraId="772B4DDF" w14:textId="77777777" w:rsidR="0088660B" w:rsidRDefault="0088660B" w:rsidP="0088660B">
      <w:pPr>
        <w:pStyle w:val="Kommentinteksti"/>
        <w:numPr>
          <w:ilvl w:val="0"/>
          <w:numId w:val="15"/>
        </w:numPr>
      </w:pPr>
      <w:r>
        <w:t xml:space="preserve">potential impact of significant new safety issues identified with another drug in the same class. </w:t>
      </w:r>
    </w:p>
  </w:comment>
  <w:comment w:id="69" w:author="Author" w:initials="A">
    <w:p w14:paraId="3BC08EA6" w14:textId="77777777" w:rsidR="0088660B" w:rsidRDefault="00F54362" w:rsidP="0088660B">
      <w:pPr>
        <w:pStyle w:val="Kommentinteksti"/>
      </w:pPr>
      <w:r>
        <w:rPr>
          <w:rStyle w:val="Kommentinviite"/>
        </w:rPr>
        <w:annotationRef/>
      </w:r>
      <w:r w:rsidR="0088660B">
        <w:t xml:space="preserve">This information can either be included as text or in form of a table. For an example of how a ”summary of important risks” might  look like, please see </w:t>
      </w:r>
      <w:hyperlink r:id="rId3" w:history="1">
        <w:r w:rsidR="0088660B" w:rsidRPr="00BD1786">
          <w:rPr>
            <w:rStyle w:val="Hyperlinkki"/>
          </w:rPr>
          <w:t>ICH-E2F Appendix C</w:t>
        </w:r>
      </w:hyperlink>
      <w:r w:rsidR="0088660B">
        <w:t xml:space="preserve">. </w:t>
      </w:r>
    </w:p>
  </w:comment>
  <w:comment w:id="71" w:author="Author" w:initials="A">
    <w:p w14:paraId="481B16A5" w14:textId="0010B085" w:rsidR="00710AA7" w:rsidRDefault="004517FC">
      <w:pPr>
        <w:pStyle w:val="Kommentinteksti"/>
      </w:pPr>
      <w:r>
        <w:rPr>
          <w:rStyle w:val="Kommentinviite"/>
        </w:rPr>
        <w:annotationRef/>
      </w:r>
      <w:r w:rsidRPr="004677F3">
        <w:rPr>
          <w:rFonts w:ascii="Arial" w:hAnsi="Arial" w:cs="Arial"/>
        </w:rPr>
        <w:t>Add list of actions.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9DA6F3" w15:done="0"/>
  <w15:commentEx w15:paraId="3BF0837C" w15:done="0"/>
  <w15:commentEx w15:paraId="13C30E7E" w15:done="0"/>
  <w15:commentEx w15:paraId="114B04C5" w15:done="0"/>
  <w15:commentEx w15:paraId="1F2A0311" w15:done="0"/>
  <w15:commentEx w15:paraId="29C462A4" w15:done="0"/>
  <w15:commentEx w15:paraId="1302066C" w15:done="0"/>
  <w15:commentEx w15:paraId="4FBD14D5" w15:done="0"/>
  <w15:commentEx w15:paraId="3D87C9C2" w15:done="0"/>
  <w15:commentEx w15:paraId="0AA61A5B" w15:done="0"/>
  <w15:commentEx w15:paraId="3EE52F05" w15:done="0"/>
  <w15:commentEx w15:paraId="3E09E895" w15:done="0"/>
  <w15:commentEx w15:paraId="7949B6EB" w15:done="0"/>
  <w15:commentEx w15:paraId="122BCFE1" w15:done="0"/>
  <w15:commentEx w15:paraId="6D4B874B" w15:done="0"/>
  <w15:commentEx w15:paraId="4BFFB76F" w15:done="0"/>
  <w15:commentEx w15:paraId="390CFC8F" w15:done="0"/>
  <w15:commentEx w15:paraId="7BC7E355" w15:done="0"/>
  <w15:commentEx w15:paraId="36D55A7F" w15:done="0"/>
  <w15:commentEx w15:paraId="39561B62" w15:done="0"/>
  <w15:commentEx w15:paraId="7262A8B7" w15:done="0"/>
  <w15:commentEx w15:paraId="7764A36C" w15:done="0"/>
  <w15:commentEx w15:paraId="53447089" w15:done="0"/>
  <w15:commentEx w15:paraId="039E1582" w15:done="0"/>
  <w15:commentEx w15:paraId="7549D51D" w15:done="0"/>
  <w15:commentEx w15:paraId="62ABD89E" w15:done="0"/>
  <w15:commentEx w15:paraId="75A20EAB" w15:done="0"/>
  <w15:commentEx w15:paraId="5F6CCC14" w15:done="0"/>
  <w15:commentEx w15:paraId="6519BE30" w15:done="0"/>
  <w15:commentEx w15:paraId="47090230" w15:done="0"/>
  <w15:commentEx w15:paraId="3FA5B504" w15:done="0"/>
  <w15:commentEx w15:paraId="531E4287" w15:done="0"/>
  <w15:commentEx w15:paraId="772B4DDF" w15:done="0"/>
  <w15:commentEx w15:paraId="3BC08EA6" w15:done="0"/>
  <w15:commentEx w15:paraId="481B16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9DA6F3" w16cid:durableId="02340612"/>
  <w16cid:commentId w16cid:paraId="3BF0837C" w16cid:durableId="27E943B8"/>
  <w16cid:commentId w16cid:paraId="13C30E7E" w16cid:durableId="55A89888"/>
  <w16cid:commentId w16cid:paraId="114B04C5" w16cid:durableId="7789BA76"/>
  <w16cid:commentId w16cid:paraId="1F2A0311" w16cid:durableId="27E943B9"/>
  <w16cid:commentId w16cid:paraId="29C462A4" w16cid:durableId="27E943BA"/>
  <w16cid:commentId w16cid:paraId="1302066C" w16cid:durableId="27E943BB"/>
  <w16cid:commentId w16cid:paraId="4FBD14D5" w16cid:durableId="27E943BC"/>
  <w16cid:commentId w16cid:paraId="3D87C9C2" w16cid:durableId="27E943BD"/>
  <w16cid:commentId w16cid:paraId="0AA61A5B" w16cid:durableId="27E943BE"/>
  <w16cid:commentId w16cid:paraId="3EE52F05" w16cid:durableId="27E943BF"/>
  <w16cid:commentId w16cid:paraId="3E09E895" w16cid:durableId="1C2DF4A0"/>
  <w16cid:commentId w16cid:paraId="7949B6EB" w16cid:durableId="27E943C0"/>
  <w16cid:commentId w16cid:paraId="122BCFE1" w16cid:durableId="27E943C1"/>
  <w16cid:commentId w16cid:paraId="6D4B874B" w16cid:durableId="27E943C2"/>
  <w16cid:commentId w16cid:paraId="4BFFB76F" w16cid:durableId="20DB4DBB"/>
  <w16cid:commentId w16cid:paraId="390CFC8F" w16cid:durableId="27E943C3"/>
  <w16cid:commentId w16cid:paraId="7BC7E355" w16cid:durableId="6FFA9DA7"/>
  <w16cid:commentId w16cid:paraId="36D55A7F" w16cid:durableId="27E943C4"/>
  <w16cid:commentId w16cid:paraId="39561B62" w16cid:durableId="27E943C5"/>
  <w16cid:commentId w16cid:paraId="7262A8B7" w16cid:durableId="27E943C6"/>
  <w16cid:commentId w16cid:paraId="7764A36C" w16cid:durableId="27E943C7"/>
  <w16cid:commentId w16cid:paraId="53447089" w16cid:durableId="27E943C8"/>
  <w16cid:commentId w16cid:paraId="039E1582" w16cid:durableId="27E943C9"/>
  <w16cid:commentId w16cid:paraId="7549D51D" w16cid:durableId="303AF3F7"/>
  <w16cid:commentId w16cid:paraId="62ABD89E" w16cid:durableId="27E943CA"/>
  <w16cid:commentId w16cid:paraId="75A20EAB" w16cid:durableId="27E943CB"/>
  <w16cid:commentId w16cid:paraId="5F6CCC14" w16cid:durableId="6F24C1E6"/>
  <w16cid:commentId w16cid:paraId="6519BE30" w16cid:durableId="27E943CC"/>
  <w16cid:commentId w16cid:paraId="47090230" w16cid:durableId="2531404A"/>
  <w16cid:commentId w16cid:paraId="3FA5B504" w16cid:durableId="37CFB96F"/>
  <w16cid:commentId w16cid:paraId="531E4287" w16cid:durableId="1DD8DDDE"/>
  <w16cid:commentId w16cid:paraId="772B4DDF" w16cid:durableId="3601E4EB"/>
  <w16cid:commentId w16cid:paraId="3BC08EA6" w16cid:durableId="23FD8602"/>
  <w16cid:commentId w16cid:paraId="481B16A5" w16cid:durableId="27E943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275A" w14:textId="77777777" w:rsidR="00C45C51" w:rsidRDefault="00C45C51" w:rsidP="003F4EF9">
      <w:pPr>
        <w:spacing w:after="0" w:line="240" w:lineRule="auto"/>
      </w:pPr>
      <w:r>
        <w:separator/>
      </w:r>
    </w:p>
  </w:endnote>
  <w:endnote w:type="continuationSeparator" w:id="0">
    <w:p w14:paraId="6506504E" w14:textId="77777777" w:rsidR="00C45C51" w:rsidRDefault="00C45C51" w:rsidP="003F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7177" w14:textId="77777777" w:rsidR="00B3141F" w:rsidRDefault="00B3141F">
    <w:pPr>
      <w:pStyle w:val="Alatunniste"/>
      <w:jc w:val="right"/>
    </w:pPr>
    <w:r>
      <w:fldChar w:fldCharType="begin"/>
    </w:r>
    <w:r>
      <w:instrText>PAGE   \* MERGEFORMAT</w:instrText>
    </w:r>
    <w:r>
      <w:fldChar w:fldCharType="separate"/>
    </w:r>
    <w:r w:rsidR="006A43E0" w:rsidRPr="006A43E0">
      <w:rPr>
        <w:noProof/>
        <w:lang w:val="nl-NL"/>
      </w:rPr>
      <w:t>11</w:t>
    </w:r>
    <w:r>
      <w:fldChar w:fldCharType="end"/>
    </w:r>
  </w:p>
  <w:p w14:paraId="309AAE36" w14:textId="77777777" w:rsidR="00B3141F" w:rsidRDefault="00B3141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B616" w14:textId="77777777" w:rsidR="00C45C51" w:rsidRDefault="00C45C51" w:rsidP="003F4EF9">
      <w:pPr>
        <w:spacing w:after="0" w:line="240" w:lineRule="auto"/>
      </w:pPr>
      <w:r>
        <w:separator/>
      </w:r>
    </w:p>
  </w:footnote>
  <w:footnote w:type="continuationSeparator" w:id="0">
    <w:p w14:paraId="12BD9DE2" w14:textId="77777777" w:rsidR="00C45C51" w:rsidRDefault="00C45C51" w:rsidP="003F4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F68"/>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6005D73"/>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242635"/>
    <w:multiLevelType w:val="hybridMultilevel"/>
    <w:tmpl w:val="FFFFFFFF"/>
    <w:lvl w:ilvl="0" w:tplc="5382224E">
      <w:start w:val="3"/>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1B3226"/>
    <w:multiLevelType w:val="hybridMultilevel"/>
    <w:tmpl w:val="24F4E80E"/>
    <w:lvl w:ilvl="0" w:tplc="3F3C75A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1F456408"/>
    <w:multiLevelType w:val="hybridMultilevel"/>
    <w:tmpl w:val="FFFFFFFF"/>
    <w:lvl w:ilvl="0" w:tplc="5AB0A1FE">
      <w:numFmt w:val="bullet"/>
      <w:lvlText w:val="-"/>
      <w:lvlJc w:val="left"/>
      <w:pPr>
        <w:ind w:left="720" w:hanging="360"/>
      </w:pPr>
      <w:rPr>
        <w:rFonts w:ascii="Segoe UI" w:eastAsia="Times New Roman" w:hAnsi="Segoe UI" w:hint="default"/>
        <w:sz w:val="1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4704E4"/>
    <w:multiLevelType w:val="hybridMultilevel"/>
    <w:tmpl w:val="FFFFFFFF"/>
    <w:lvl w:ilvl="0" w:tplc="28C2F8EE">
      <w:start w:val="7"/>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FA2195"/>
    <w:multiLevelType w:val="hybridMultilevel"/>
    <w:tmpl w:val="FFFFFFFF"/>
    <w:lvl w:ilvl="0" w:tplc="0F4060E8">
      <w:start w:val="2"/>
      <w:numFmt w:val="bullet"/>
      <w:lvlText w:val="-"/>
      <w:lvlJc w:val="left"/>
      <w:pPr>
        <w:ind w:left="720" w:hanging="360"/>
      </w:pPr>
      <w:rPr>
        <w:rFonts w:ascii="Segoe UI" w:eastAsia="Times New Roman" w:hAnsi="Segoe U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DE460A"/>
    <w:multiLevelType w:val="hybridMultilevel"/>
    <w:tmpl w:val="FFFFFFFF"/>
    <w:lvl w:ilvl="0" w:tplc="F73695E4">
      <w:numFmt w:val="bullet"/>
      <w:lvlText w:val="-"/>
      <w:lvlJc w:val="left"/>
      <w:pPr>
        <w:ind w:left="720" w:hanging="360"/>
      </w:pPr>
      <w:rPr>
        <w:rFonts w:ascii="Segoe UI" w:eastAsia="Times New Roman" w:hAnsi="Segoe U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E202B5"/>
    <w:multiLevelType w:val="hybridMultilevel"/>
    <w:tmpl w:val="1C9CF400"/>
    <w:lvl w:ilvl="0" w:tplc="538A55FC">
      <w:start w:val="1"/>
      <w:numFmt w:val="bullet"/>
      <w:lvlText w:val=""/>
      <w:lvlJc w:val="left"/>
      <w:pPr>
        <w:ind w:left="1020" w:hanging="360"/>
      </w:pPr>
      <w:rPr>
        <w:rFonts w:ascii="Symbol" w:hAnsi="Symbol"/>
      </w:rPr>
    </w:lvl>
    <w:lvl w:ilvl="1" w:tplc="18D27136">
      <w:start w:val="1"/>
      <w:numFmt w:val="bullet"/>
      <w:lvlText w:val=""/>
      <w:lvlJc w:val="left"/>
      <w:pPr>
        <w:ind w:left="1020" w:hanging="360"/>
      </w:pPr>
      <w:rPr>
        <w:rFonts w:ascii="Symbol" w:hAnsi="Symbol"/>
      </w:rPr>
    </w:lvl>
    <w:lvl w:ilvl="2" w:tplc="9612A206">
      <w:start w:val="1"/>
      <w:numFmt w:val="bullet"/>
      <w:lvlText w:val=""/>
      <w:lvlJc w:val="left"/>
      <w:pPr>
        <w:ind w:left="1020" w:hanging="360"/>
      </w:pPr>
      <w:rPr>
        <w:rFonts w:ascii="Symbol" w:hAnsi="Symbol"/>
      </w:rPr>
    </w:lvl>
    <w:lvl w:ilvl="3" w:tplc="6A8CD604">
      <w:start w:val="1"/>
      <w:numFmt w:val="bullet"/>
      <w:lvlText w:val=""/>
      <w:lvlJc w:val="left"/>
      <w:pPr>
        <w:ind w:left="1020" w:hanging="360"/>
      </w:pPr>
      <w:rPr>
        <w:rFonts w:ascii="Symbol" w:hAnsi="Symbol"/>
      </w:rPr>
    </w:lvl>
    <w:lvl w:ilvl="4" w:tplc="D56E5C52">
      <w:start w:val="1"/>
      <w:numFmt w:val="bullet"/>
      <w:lvlText w:val=""/>
      <w:lvlJc w:val="left"/>
      <w:pPr>
        <w:ind w:left="1020" w:hanging="360"/>
      </w:pPr>
      <w:rPr>
        <w:rFonts w:ascii="Symbol" w:hAnsi="Symbol"/>
      </w:rPr>
    </w:lvl>
    <w:lvl w:ilvl="5" w:tplc="338252B2">
      <w:start w:val="1"/>
      <w:numFmt w:val="bullet"/>
      <w:lvlText w:val=""/>
      <w:lvlJc w:val="left"/>
      <w:pPr>
        <w:ind w:left="1020" w:hanging="360"/>
      </w:pPr>
      <w:rPr>
        <w:rFonts w:ascii="Symbol" w:hAnsi="Symbol"/>
      </w:rPr>
    </w:lvl>
    <w:lvl w:ilvl="6" w:tplc="CEF2B852">
      <w:start w:val="1"/>
      <w:numFmt w:val="bullet"/>
      <w:lvlText w:val=""/>
      <w:lvlJc w:val="left"/>
      <w:pPr>
        <w:ind w:left="1020" w:hanging="360"/>
      </w:pPr>
      <w:rPr>
        <w:rFonts w:ascii="Symbol" w:hAnsi="Symbol"/>
      </w:rPr>
    </w:lvl>
    <w:lvl w:ilvl="7" w:tplc="C4347B04">
      <w:start w:val="1"/>
      <w:numFmt w:val="bullet"/>
      <w:lvlText w:val=""/>
      <w:lvlJc w:val="left"/>
      <w:pPr>
        <w:ind w:left="1020" w:hanging="360"/>
      </w:pPr>
      <w:rPr>
        <w:rFonts w:ascii="Symbol" w:hAnsi="Symbol"/>
      </w:rPr>
    </w:lvl>
    <w:lvl w:ilvl="8" w:tplc="C8782E64">
      <w:start w:val="1"/>
      <w:numFmt w:val="bullet"/>
      <w:lvlText w:val=""/>
      <w:lvlJc w:val="left"/>
      <w:pPr>
        <w:ind w:left="1020" w:hanging="360"/>
      </w:pPr>
      <w:rPr>
        <w:rFonts w:ascii="Symbol" w:hAnsi="Symbol"/>
      </w:rPr>
    </w:lvl>
  </w:abstractNum>
  <w:abstractNum w:abstractNumId="9" w15:restartNumberingAfterBreak="0">
    <w:nsid w:val="43043188"/>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59F973BE"/>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68612721"/>
    <w:multiLevelType w:val="hybridMultilevel"/>
    <w:tmpl w:val="FFFFFFFF"/>
    <w:lvl w:ilvl="0" w:tplc="F73695E4">
      <w:numFmt w:val="bullet"/>
      <w:lvlText w:val="-"/>
      <w:lvlJc w:val="left"/>
      <w:pPr>
        <w:ind w:left="720" w:hanging="360"/>
      </w:pPr>
      <w:rPr>
        <w:rFonts w:ascii="Segoe UI" w:eastAsia="Times New Roman" w:hAnsi="Segoe U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D8319B"/>
    <w:multiLevelType w:val="hybridMultilevel"/>
    <w:tmpl w:val="95A66990"/>
    <w:lvl w:ilvl="0" w:tplc="F73695E4">
      <w:numFmt w:val="bullet"/>
      <w:lvlText w:val="-"/>
      <w:lvlJc w:val="left"/>
      <w:pPr>
        <w:ind w:left="720" w:hanging="360"/>
      </w:pPr>
      <w:rPr>
        <w:rFonts w:ascii="Segoe UI" w:eastAsia="Times New Roman" w:hAnsi="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15C328E"/>
    <w:multiLevelType w:val="hybridMultilevel"/>
    <w:tmpl w:val="3CC817FE"/>
    <w:lvl w:ilvl="0" w:tplc="DF3CB724">
      <w:start w:val="1"/>
      <w:numFmt w:val="bullet"/>
      <w:lvlText w:val=""/>
      <w:lvlJc w:val="left"/>
      <w:pPr>
        <w:ind w:left="1020" w:hanging="360"/>
      </w:pPr>
      <w:rPr>
        <w:rFonts w:ascii="Symbol" w:hAnsi="Symbol"/>
      </w:rPr>
    </w:lvl>
    <w:lvl w:ilvl="1" w:tplc="8CDC386E">
      <w:start w:val="1"/>
      <w:numFmt w:val="bullet"/>
      <w:lvlText w:val=""/>
      <w:lvlJc w:val="left"/>
      <w:pPr>
        <w:ind w:left="1020" w:hanging="360"/>
      </w:pPr>
      <w:rPr>
        <w:rFonts w:ascii="Symbol" w:hAnsi="Symbol"/>
      </w:rPr>
    </w:lvl>
    <w:lvl w:ilvl="2" w:tplc="54C80A94">
      <w:start w:val="1"/>
      <w:numFmt w:val="bullet"/>
      <w:lvlText w:val=""/>
      <w:lvlJc w:val="left"/>
      <w:pPr>
        <w:ind w:left="1020" w:hanging="360"/>
      </w:pPr>
      <w:rPr>
        <w:rFonts w:ascii="Symbol" w:hAnsi="Symbol"/>
      </w:rPr>
    </w:lvl>
    <w:lvl w:ilvl="3" w:tplc="50227D6E">
      <w:start w:val="1"/>
      <w:numFmt w:val="bullet"/>
      <w:lvlText w:val=""/>
      <w:lvlJc w:val="left"/>
      <w:pPr>
        <w:ind w:left="1020" w:hanging="360"/>
      </w:pPr>
      <w:rPr>
        <w:rFonts w:ascii="Symbol" w:hAnsi="Symbol"/>
      </w:rPr>
    </w:lvl>
    <w:lvl w:ilvl="4" w:tplc="6FCA2F2E">
      <w:start w:val="1"/>
      <w:numFmt w:val="bullet"/>
      <w:lvlText w:val=""/>
      <w:lvlJc w:val="left"/>
      <w:pPr>
        <w:ind w:left="1020" w:hanging="360"/>
      </w:pPr>
      <w:rPr>
        <w:rFonts w:ascii="Symbol" w:hAnsi="Symbol"/>
      </w:rPr>
    </w:lvl>
    <w:lvl w:ilvl="5" w:tplc="4268E312">
      <w:start w:val="1"/>
      <w:numFmt w:val="bullet"/>
      <w:lvlText w:val=""/>
      <w:lvlJc w:val="left"/>
      <w:pPr>
        <w:ind w:left="1020" w:hanging="360"/>
      </w:pPr>
      <w:rPr>
        <w:rFonts w:ascii="Symbol" w:hAnsi="Symbol"/>
      </w:rPr>
    </w:lvl>
    <w:lvl w:ilvl="6" w:tplc="BE32F70A">
      <w:start w:val="1"/>
      <w:numFmt w:val="bullet"/>
      <w:lvlText w:val=""/>
      <w:lvlJc w:val="left"/>
      <w:pPr>
        <w:ind w:left="1020" w:hanging="360"/>
      </w:pPr>
      <w:rPr>
        <w:rFonts w:ascii="Symbol" w:hAnsi="Symbol"/>
      </w:rPr>
    </w:lvl>
    <w:lvl w:ilvl="7" w:tplc="D2849FF0">
      <w:start w:val="1"/>
      <w:numFmt w:val="bullet"/>
      <w:lvlText w:val=""/>
      <w:lvlJc w:val="left"/>
      <w:pPr>
        <w:ind w:left="1020" w:hanging="360"/>
      </w:pPr>
      <w:rPr>
        <w:rFonts w:ascii="Symbol" w:hAnsi="Symbol"/>
      </w:rPr>
    </w:lvl>
    <w:lvl w:ilvl="8" w:tplc="3970C6A8">
      <w:start w:val="1"/>
      <w:numFmt w:val="bullet"/>
      <w:lvlText w:val=""/>
      <w:lvlJc w:val="left"/>
      <w:pPr>
        <w:ind w:left="1020" w:hanging="360"/>
      </w:pPr>
      <w:rPr>
        <w:rFonts w:ascii="Symbol" w:hAnsi="Symbol"/>
      </w:rPr>
    </w:lvl>
  </w:abstractNum>
  <w:num w:numId="1" w16cid:durableId="372580725">
    <w:abstractNumId w:val="11"/>
  </w:num>
  <w:num w:numId="2" w16cid:durableId="1178423651">
    <w:abstractNumId w:val="4"/>
  </w:num>
  <w:num w:numId="3" w16cid:durableId="30571572">
    <w:abstractNumId w:val="9"/>
  </w:num>
  <w:num w:numId="4" w16cid:durableId="395472136">
    <w:abstractNumId w:val="10"/>
  </w:num>
  <w:num w:numId="5" w16cid:durableId="434374452">
    <w:abstractNumId w:val="7"/>
  </w:num>
  <w:num w:numId="6" w16cid:durableId="224032201">
    <w:abstractNumId w:val="2"/>
  </w:num>
  <w:num w:numId="7" w16cid:durableId="71051025">
    <w:abstractNumId w:val="1"/>
  </w:num>
  <w:num w:numId="8" w16cid:durableId="1647198381">
    <w:abstractNumId w:val="5"/>
  </w:num>
  <w:num w:numId="9" w16cid:durableId="1542281268">
    <w:abstractNumId w:val="6"/>
  </w:num>
  <w:num w:numId="10" w16cid:durableId="19207493">
    <w:abstractNumId w:val="0"/>
  </w:num>
  <w:num w:numId="11" w16cid:durableId="493373694">
    <w:abstractNumId w:val="11"/>
  </w:num>
  <w:num w:numId="12" w16cid:durableId="6836336">
    <w:abstractNumId w:val="3"/>
  </w:num>
  <w:num w:numId="13" w16cid:durableId="875122335">
    <w:abstractNumId w:val="12"/>
  </w:num>
  <w:num w:numId="14" w16cid:durableId="1529559717">
    <w:abstractNumId w:val="13"/>
  </w:num>
  <w:num w:numId="15" w16cid:durableId="407770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7D"/>
    <w:rsid w:val="00001BBB"/>
    <w:rsid w:val="00004778"/>
    <w:rsid w:val="000103D1"/>
    <w:rsid w:val="000125CD"/>
    <w:rsid w:val="0001333F"/>
    <w:rsid w:val="000140D1"/>
    <w:rsid w:val="00024704"/>
    <w:rsid w:val="00024A92"/>
    <w:rsid w:val="0002558F"/>
    <w:rsid w:val="00026911"/>
    <w:rsid w:val="00026DC5"/>
    <w:rsid w:val="00036DCE"/>
    <w:rsid w:val="00041BB1"/>
    <w:rsid w:val="00043A72"/>
    <w:rsid w:val="000447DB"/>
    <w:rsid w:val="00044BB8"/>
    <w:rsid w:val="00054129"/>
    <w:rsid w:val="00056274"/>
    <w:rsid w:val="00056C14"/>
    <w:rsid w:val="00060C01"/>
    <w:rsid w:val="00062D3D"/>
    <w:rsid w:val="00071A32"/>
    <w:rsid w:val="00073846"/>
    <w:rsid w:val="0007471D"/>
    <w:rsid w:val="00076D45"/>
    <w:rsid w:val="000775A1"/>
    <w:rsid w:val="00077740"/>
    <w:rsid w:val="00081E59"/>
    <w:rsid w:val="00086171"/>
    <w:rsid w:val="000932B6"/>
    <w:rsid w:val="00095981"/>
    <w:rsid w:val="00096E04"/>
    <w:rsid w:val="000A0BD0"/>
    <w:rsid w:val="000A20BC"/>
    <w:rsid w:val="000A4ABE"/>
    <w:rsid w:val="000A6448"/>
    <w:rsid w:val="000B4430"/>
    <w:rsid w:val="000B54D8"/>
    <w:rsid w:val="000C0B4B"/>
    <w:rsid w:val="000C77BC"/>
    <w:rsid w:val="000D7368"/>
    <w:rsid w:val="000E32D7"/>
    <w:rsid w:val="000E425A"/>
    <w:rsid w:val="000F0F1F"/>
    <w:rsid w:val="000F218A"/>
    <w:rsid w:val="000F672D"/>
    <w:rsid w:val="00100D95"/>
    <w:rsid w:val="00103316"/>
    <w:rsid w:val="00106C0C"/>
    <w:rsid w:val="00107FCA"/>
    <w:rsid w:val="00110AA7"/>
    <w:rsid w:val="001149C5"/>
    <w:rsid w:val="00115028"/>
    <w:rsid w:val="001159C0"/>
    <w:rsid w:val="001338FA"/>
    <w:rsid w:val="0014005E"/>
    <w:rsid w:val="00147D9B"/>
    <w:rsid w:val="001519B6"/>
    <w:rsid w:val="00156121"/>
    <w:rsid w:val="001565C9"/>
    <w:rsid w:val="0015768B"/>
    <w:rsid w:val="0016082D"/>
    <w:rsid w:val="001677A1"/>
    <w:rsid w:val="00167B5D"/>
    <w:rsid w:val="00171B3F"/>
    <w:rsid w:val="0017214E"/>
    <w:rsid w:val="00176EF0"/>
    <w:rsid w:val="00182A34"/>
    <w:rsid w:val="00182DA4"/>
    <w:rsid w:val="00184477"/>
    <w:rsid w:val="00192D29"/>
    <w:rsid w:val="00196D46"/>
    <w:rsid w:val="001A2378"/>
    <w:rsid w:val="001A6E9F"/>
    <w:rsid w:val="001A7E9B"/>
    <w:rsid w:val="001B5510"/>
    <w:rsid w:val="001B6D6D"/>
    <w:rsid w:val="001C524F"/>
    <w:rsid w:val="001C7760"/>
    <w:rsid w:val="001D232C"/>
    <w:rsid w:val="001D3983"/>
    <w:rsid w:val="001D7A78"/>
    <w:rsid w:val="001E10BE"/>
    <w:rsid w:val="001F54E5"/>
    <w:rsid w:val="002001BB"/>
    <w:rsid w:val="00200486"/>
    <w:rsid w:val="0021084B"/>
    <w:rsid w:val="00212B72"/>
    <w:rsid w:val="0021328F"/>
    <w:rsid w:val="00214B71"/>
    <w:rsid w:val="00222B46"/>
    <w:rsid w:val="00222DE6"/>
    <w:rsid w:val="00225C72"/>
    <w:rsid w:val="002273D3"/>
    <w:rsid w:val="002276FB"/>
    <w:rsid w:val="00230C17"/>
    <w:rsid w:val="00242C0E"/>
    <w:rsid w:val="00246332"/>
    <w:rsid w:val="00252115"/>
    <w:rsid w:val="00254B44"/>
    <w:rsid w:val="00257EE4"/>
    <w:rsid w:val="00261E10"/>
    <w:rsid w:val="0026547E"/>
    <w:rsid w:val="00265FBB"/>
    <w:rsid w:val="00266811"/>
    <w:rsid w:val="00277253"/>
    <w:rsid w:val="00280E6E"/>
    <w:rsid w:val="00281280"/>
    <w:rsid w:val="00291248"/>
    <w:rsid w:val="002A3098"/>
    <w:rsid w:val="002B01A0"/>
    <w:rsid w:val="002B67E1"/>
    <w:rsid w:val="002B78CC"/>
    <w:rsid w:val="002C0E00"/>
    <w:rsid w:val="002C25E2"/>
    <w:rsid w:val="002C7E9A"/>
    <w:rsid w:val="002D1AA4"/>
    <w:rsid w:val="002E6249"/>
    <w:rsid w:val="002E64E8"/>
    <w:rsid w:val="002E7140"/>
    <w:rsid w:val="002F75A4"/>
    <w:rsid w:val="0030318D"/>
    <w:rsid w:val="00306989"/>
    <w:rsid w:val="00307804"/>
    <w:rsid w:val="00307DEA"/>
    <w:rsid w:val="00310D7A"/>
    <w:rsid w:val="00311A7A"/>
    <w:rsid w:val="003150E8"/>
    <w:rsid w:val="00316B5B"/>
    <w:rsid w:val="0031738D"/>
    <w:rsid w:val="00317F6B"/>
    <w:rsid w:val="00322D4F"/>
    <w:rsid w:val="0032653A"/>
    <w:rsid w:val="003270C3"/>
    <w:rsid w:val="003338CC"/>
    <w:rsid w:val="0033500A"/>
    <w:rsid w:val="0034131A"/>
    <w:rsid w:val="0034166F"/>
    <w:rsid w:val="003449E3"/>
    <w:rsid w:val="0034766D"/>
    <w:rsid w:val="003611E6"/>
    <w:rsid w:val="003612CD"/>
    <w:rsid w:val="00362907"/>
    <w:rsid w:val="00363714"/>
    <w:rsid w:val="003658B1"/>
    <w:rsid w:val="003661F6"/>
    <w:rsid w:val="00367BD7"/>
    <w:rsid w:val="00372BC9"/>
    <w:rsid w:val="00380DE8"/>
    <w:rsid w:val="00380FD6"/>
    <w:rsid w:val="00385AEC"/>
    <w:rsid w:val="00385E67"/>
    <w:rsid w:val="00393F46"/>
    <w:rsid w:val="003952B6"/>
    <w:rsid w:val="00395CED"/>
    <w:rsid w:val="00396116"/>
    <w:rsid w:val="003A07D3"/>
    <w:rsid w:val="003A1386"/>
    <w:rsid w:val="003A35A1"/>
    <w:rsid w:val="003B593E"/>
    <w:rsid w:val="003B6EB7"/>
    <w:rsid w:val="003C5307"/>
    <w:rsid w:val="003D0244"/>
    <w:rsid w:val="003D1228"/>
    <w:rsid w:val="003D46E9"/>
    <w:rsid w:val="003D6551"/>
    <w:rsid w:val="003D71BF"/>
    <w:rsid w:val="003D7D33"/>
    <w:rsid w:val="003E1EA2"/>
    <w:rsid w:val="003E6D9E"/>
    <w:rsid w:val="003F3F25"/>
    <w:rsid w:val="003F4EF9"/>
    <w:rsid w:val="004063A2"/>
    <w:rsid w:val="00410AB5"/>
    <w:rsid w:val="00412AAC"/>
    <w:rsid w:val="004148E1"/>
    <w:rsid w:val="00430286"/>
    <w:rsid w:val="00430FCA"/>
    <w:rsid w:val="00434289"/>
    <w:rsid w:val="004408A5"/>
    <w:rsid w:val="004418CC"/>
    <w:rsid w:val="0044235B"/>
    <w:rsid w:val="004478C5"/>
    <w:rsid w:val="00450A32"/>
    <w:rsid w:val="004517FC"/>
    <w:rsid w:val="004528BA"/>
    <w:rsid w:val="004545B5"/>
    <w:rsid w:val="004677F3"/>
    <w:rsid w:val="004714DD"/>
    <w:rsid w:val="00474421"/>
    <w:rsid w:val="004777F0"/>
    <w:rsid w:val="00477E09"/>
    <w:rsid w:val="00491253"/>
    <w:rsid w:val="0049384F"/>
    <w:rsid w:val="0049397E"/>
    <w:rsid w:val="0049741A"/>
    <w:rsid w:val="004A0667"/>
    <w:rsid w:val="004A149B"/>
    <w:rsid w:val="004A3A74"/>
    <w:rsid w:val="004A66A0"/>
    <w:rsid w:val="004A7062"/>
    <w:rsid w:val="004B1DC6"/>
    <w:rsid w:val="004C2E81"/>
    <w:rsid w:val="004C4DB5"/>
    <w:rsid w:val="004C5204"/>
    <w:rsid w:val="004C532E"/>
    <w:rsid w:val="004D2297"/>
    <w:rsid w:val="004D2833"/>
    <w:rsid w:val="004D7AE2"/>
    <w:rsid w:val="004E2C31"/>
    <w:rsid w:val="004E35C4"/>
    <w:rsid w:val="004E44CD"/>
    <w:rsid w:val="004F0DE8"/>
    <w:rsid w:val="004F1F5F"/>
    <w:rsid w:val="004F1FE8"/>
    <w:rsid w:val="004F2DAE"/>
    <w:rsid w:val="004F78F3"/>
    <w:rsid w:val="00502611"/>
    <w:rsid w:val="00504408"/>
    <w:rsid w:val="0050625D"/>
    <w:rsid w:val="00512BEE"/>
    <w:rsid w:val="00512D22"/>
    <w:rsid w:val="0052621D"/>
    <w:rsid w:val="005265E5"/>
    <w:rsid w:val="00536A67"/>
    <w:rsid w:val="00537A6A"/>
    <w:rsid w:val="00555EC6"/>
    <w:rsid w:val="00560F5D"/>
    <w:rsid w:val="00561E77"/>
    <w:rsid w:val="00562FDE"/>
    <w:rsid w:val="00566B62"/>
    <w:rsid w:val="00576185"/>
    <w:rsid w:val="00577C48"/>
    <w:rsid w:val="0058230B"/>
    <w:rsid w:val="00585464"/>
    <w:rsid w:val="00591C8C"/>
    <w:rsid w:val="00591FBB"/>
    <w:rsid w:val="00593D14"/>
    <w:rsid w:val="00594084"/>
    <w:rsid w:val="00597203"/>
    <w:rsid w:val="0059790B"/>
    <w:rsid w:val="005A5074"/>
    <w:rsid w:val="005A5CDB"/>
    <w:rsid w:val="005B0476"/>
    <w:rsid w:val="005B0576"/>
    <w:rsid w:val="005B4293"/>
    <w:rsid w:val="005C2112"/>
    <w:rsid w:val="005C2FA3"/>
    <w:rsid w:val="005D0B42"/>
    <w:rsid w:val="005D0F68"/>
    <w:rsid w:val="005E3A3D"/>
    <w:rsid w:val="005E450A"/>
    <w:rsid w:val="005F1103"/>
    <w:rsid w:val="005F3C31"/>
    <w:rsid w:val="005F71DA"/>
    <w:rsid w:val="00602CD9"/>
    <w:rsid w:val="006055FD"/>
    <w:rsid w:val="006137E3"/>
    <w:rsid w:val="00614CF9"/>
    <w:rsid w:val="0061681E"/>
    <w:rsid w:val="00621163"/>
    <w:rsid w:val="0063086E"/>
    <w:rsid w:val="00632FB9"/>
    <w:rsid w:val="00634499"/>
    <w:rsid w:val="006356C5"/>
    <w:rsid w:val="00636141"/>
    <w:rsid w:val="00643626"/>
    <w:rsid w:val="00653B29"/>
    <w:rsid w:val="00654FFE"/>
    <w:rsid w:val="006626A8"/>
    <w:rsid w:val="00671E4C"/>
    <w:rsid w:val="0067366A"/>
    <w:rsid w:val="006747B6"/>
    <w:rsid w:val="006772CA"/>
    <w:rsid w:val="00690D7E"/>
    <w:rsid w:val="006936BD"/>
    <w:rsid w:val="0069539D"/>
    <w:rsid w:val="006956F1"/>
    <w:rsid w:val="006A052A"/>
    <w:rsid w:val="006A43E0"/>
    <w:rsid w:val="006A5960"/>
    <w:rsid w:val="006B7D31"/>
    <w:rsid w:val="006C14A2"/>
    <w:rsid w:val="006C21B9"/>
    <w:rsid w:val="006C49FF"/>
    <w:rsid w:val="006D2445"/>
    <w:rsid w:val="006D4651"/>
    <w:rsid w:val="006D7975"/>
    <w:rsid w:val="006D7F29"/>
    <w:rsid w:val="006E12F3"/>
    <w:rsid w:val="006E1921"/>
    <w:rsid w:val="006E5CD5"/>
    <w:rsid w:val="006F5283"/>
    <w:rsid w:val="006F6517"/>
    <w:rsid w:val="006F7575"/>
    <w:rsid w:val="006F7FEC"/>
    <w:rsid w:val="00700C9C"/>
    <w:rsid w:val="0070626F"/>
    <w:rsid w:val="00710AA7"/>
    <w:rsid w:val="0071265D"/>
    <w:rsid w:val="007167DA"/>
    <w:rsid w:val="00716D74"/>
    <w:rsid w:val="00717CD4"/>
    <w:rsid w:val="00720946"/>
    <w:rsid w:val="007213B2"/>
    <w:rsid w:val="00730A06"/>
    <w:rsid w:val="0073297B"/>
    <w:rsid w:val="00737903"/>
    <w:rsid w:val="007451EC"/>
    <w:rsid w:val="00746656"/>
    <w:rsid w:val="00757729"/>
    <w:rsid w:val="0076440A"/>
    <w:rsid w:val="00764A7D"/>
    <w:rsid w:val="007655B1"/>
    <w:rsid w:val="00766A51"/>
    <w:rsid w:val="00771B84"/>
    <w:rsid w:val="0077243C"/>
    <w:rsid w:val="00772901"/>
    <w:rsid w:val="00773EEB"/>
    <w:rsid w:val="00780F6C"/>
    <w:rsid w:val="007822D5"/>
    <w:rsid w:val="0078473F"/>
    <w:rsid w:val="00785C8B"/>
    <w:rsid w:val="0078626A"/>
    <w:rsid w:val="00790748"/>
    <w:rsid w:val="007919F4"/>
    <w:rsid w:val="007A05CC"/>
    <w:rsid w:val="007A0C89"/>
    <w:rsid w:val="007A54C1"/>
    <w:rsid w:val="007A5516"/>
    <w:rsid w:val="007A5E4A"/>
    <w:rsid w:val="007B0B69"/>
    <w:rsid w:val="007B4017"/>
    <w:rsid w:val="007C408B"/>
    <w:rsid w:val="007C7B0D"/>
    <w:rsid w:val="007D2A47"/>
    <w:rsid w:val="007D50C1"/>
    <w:rsid w:val="007D6E0F"/>
    <w:rsid w:val="007E2271"/>
    <w:rsid w:val="007E51A2"/>
    <w:rsid w:val="007E5D05"/>
    <w:rsid w:val="007E5F49"/>
    <w:rsid w:val="007F0084"/>
    <w:rsid w:val="007F2DFD"/>
    <w:rsid w:val="007F35F2"/>
    <w:rsid w:val="007F37CD"/>
    <w:rsid w:val="007F3BAC"/>
    <w:rsid w:val="007F54C2"/>
    <w:rsid w:val="007F55EB"/>
    <w:rsid w:val="007F76BE"/>
    <w:rsid w:val="008015FC"/>
    <w:rsid w:val="00801E26"/>
    <w:rsid w:val="0080690C"/>
    <w:rsid w:val="008119E7"/>
    <w:rsid w:val="008147DE"/>
    <w:rsid w:val="00816FB6"/>
    <w:rsid w:val="00820DAE"/>
    <w:rsid w:val="00831A35"/>
    <w:rsid w:val="00831BD9"/>
    <w:rsid w:val="00833463"/>
    <w:rsid w:val="00833E69"/>
    <w:rsid w:val="00834B3E"/>
    <w:rsid w:val="00834CC4"/>
    <w:rsid w:val="00835F03"/>
    <w:rsid w:val="008502D3"/>
    <w:rsid w:val="00857796"/>
    <w:rsid w:val="00863FE2"/>
    <w:rsid w:val="0086723E"/>
    <w:rsid w:val="00867CF0"/>
    <w:rsid w:val="00870492"/>
    <w:rsid w:val="00872CE8"/>
    <w:rsid w:val="0087448B"/>
    <w:rsid w:val="008817E1"/>
    <w:rsid w:val="0088185D"/>
    <w:rsid w:val="00883236"/>
    <w:rsid w:val="0088504B"/>
    <w:rsid w:val="0088660B"/>
    <w:rsid w:val="00886CB8"/>
    <w:rsid w:val="00890D0C"/>
    <w:rsid w:val="00892B95"/>
    <w:rsid w:val="00893BB5"/>
    <w:rsid w:val="0089464F"/>
    <w:rsid w:val="008A21BA"/>
    <w:rsid w:val="008A241D"/>
    <w:rsid w:val="008A3410"/>
    <w:rsid w:val="008A71A6"/>
    <w:rsid w:val="008B2371"/>
    <w:rsid w:val="008B5262"/>
    <w:rsid w:val="008B660A"/>
    <w:rsid w:val="008C274C"/>
    <w:rsid w:val="008C2B47"/>
    <w:rsid w:val="008C52C1"/>
    <w:rsid w:val="008C6FA5"/>
    <w:rsid w:val="008C797D"/>
    <w:rsid w:val="008D060F"/>
    <w:rsid w:val="008D06FB"/>
    <w:rsid w:val="008D0EA4"/>
    <w:rsid w:val="008D21DF"/>
    <w:rsid w:val="008D2BE2"/>
    <w:rsid w:val="008D343C"/>
    <w:rsid w:val="008D45F1"/>
    <w:rsid w:val="008D5120"/>
    <w:rsid w:val="008D6332"/>
    <w:rsid w:val="008E41B4"/>
    <w:rsid w:val="008F215E"/>
    <w:rsid w:val="008F4141"/>
    <w:rsid w:val="0090552F"/>
    <w:rsid w:val="009106F9"/>
    <w:rsid w:val="009126F1"/>
    <w:rsid w:val="00912DEB"/>
    <w:rsid w:val="009135A4"/>
    <w:rsid w:val="009138B8"/>
    <w:rsid w:val="00917710"/>
    <w:rsid w:val="009204BA"/>
    <w:rsid w:val="00920EBE"/>
    <w:rsid w:val="00930AA7"/>
    <w:rsid w:val="00932C64"/>
    <w:rsid w:val="009345B7"/>
    <w:rsid w:val="00935C5F"/>
    <w:rsid w:val="00944D77"/>
    <w:rsid w:val="00945FA1"/>
    <w:rsid w:val="0094623E"/>
    <w:rsid w:val="00964DC6"/>
    <w:rsid w:val="009652E9"/>
    <w:rsid w:val="00966C26"/>
    <w:rsid w:val="00966DF9"/>
    <w:rsid w:val="0097544E"/>
    <w:rsid w:val="00975C77"/>
    <w:rsid w:val="009776FE"/>
    <w:rsid w:val="009808D9"/>
    <w:rsid w:val="00980D94"/>
    <w:rsid w:val="00982DCD"/>
    <w:rsid w:val="00983C72"/>
    <w:rsid w:val="00984BAB"/>
    <w:rsid w:val="0098732E"/>
    <w:rsid w:val="00990E30"/>
    <w:rsid w:val="009922B9"/>
    <w:rsid w:val="009A03D5"/>
    <w:rsid w:val="009B5E5C"/>
    <w:rsid w:val="009B647B"/>
    <w:rsid w:val="009C59F4"/>
    <w:rsid w:val="009D1173"/>
    <w:rsid w:val="009D1F16"/>
    <w:rsid w:val="009D3D16"/>
    <w:rsid w:val="009E17C2"/>
    <w:rsid w:val="009E1D1F"/>
    <w:rsid w:val="009E6B09"/>
    <w:rsid w:val="009F151F"/>
    <w:rsid w:val="009F579F"/>
    <w:rsid w:val="00A02A91"/>
    <w:rsid w:val="00A03A3A"/>
    <w:rsid w:val="00A10696"/>
    <w:rsid w:val="00A12FE1"/>
    <w:rsid w:val="00A13589"/>
    <w:rsid w:val="00A14EBD"/>
    <w:rsid w:val="00A21266"/>
    <w:rsid w:val="00A2658E"/>
    <w:rsid w:val="00A26B4E"/>
    <w:rsid w:val="00A2768D"/>
    <w:rsid w:val="00A37AFE"/>
    <w:rsid w:val="00A43065"/>
    <w:rsid w:val="00A47D04"/>
    <w:rsid w:val="00A52F91"/>
    <w:rsid w:val="00A5587F"/>
    <w:rsid w:val="00A575EF"/>
    <w:rsid w:val="00A601F4"/>
    <w:rsid w:val="00A70198"/>
    <w:rsid w:val="00A71989"/>
    <w:rsid w:val="00A763DF"/>
    <w:rsid w:val="00A832E1"/>
    <w:rsid w:val="00A842E0"/>
    <w:rsid w:val="00A85A49"/>
    <w:rsid w:val="00A91715"/>
    <w:rsid w:val="00A92E48"/>
    <w:rsid w:val="00A95766"/>
    <w:rsid w:val="00AA6FE3"/>
    <w:rsid w:val="00AA7586"/>
    <w:rsid w:val="00AB09C0"/>
    <w:rsid w:val="00AB2A8D"/>
    <w:rsid w:val="00AB6B25"/>
    <w:rsid w:val="00AC6DF8"/>
    <w:rsid w:val="00AD3AA5"/>
    <w:rsid w:val="00AD4A26"/>
    <w:rsid w:val="00AD4F47"/>
    <w:rsid w:val="00AD5326"/>
    <w:rsid w:val="00AF4222"/>
    <w:rsid w:val="00B04F45"/>
    <w:rsid w:val="00B06AE4"/>
    <w:rsid w:val="00B07001"/>
    <w:rsid w:val="00B1116C"/>
    <w:rsid w:val="00B123E4"/>
    <w:rsid w:val="00B12ED7"/>
    <w:rsid w:val="00B171D2"/>
    <w:rsid w:val="00B17F43"/>
    <w:rsid w:val="00B2687D"/>
    <w:rsid w:val="00B3141F"/>
    <w:rsid w:val="00B3319D"/>
    <w:rsid w:val="00B356A9"/>
    <w:rsid w:val="00B365F9"/>
    <w:rsid w:val="00B36B12"/>
    <w:rsid w:val="00B46BB5"/>
    <w:rsid w:val="00B5108D"/>
    <w:rsid w:val="00B5342E"/>
    <w:rsid w:val="00B542FA"/>
    <w:rsid w:val="00B55C9A"/>
    <w:rsid w:val="00B570D9"/>
    <w:rsid w:val="00B61053"/>
    <w:rsid w:val="00B61776"/>
    <w:rsid w:val="00B63875"/>
    <w:rsid w:val="00B63C65"/>
    <w:rsid w:val="00B718F2"/>
    <w:rsid w:val="00B71BF0"/>
    <w:rsid w:val="00B72CD6"/>
    <w:rsid w:val="00B74330"/>
    <w:rsid w:val="00B81C7D"/>
    <w:rsid w:val="00B85F15"/>
    <w:rsid w:val="00B9642B"/>
    <w:rsid w:val="00B97949"/>
    <w:rsid w:val="00BA0B33"/>
    <w:rsid w:val="00BA54B9"/>
    <w:rsid w:val="00BA671E"/>
    <w:rsid w:val="00BB3B78"/>
    <w:rsid w:val="00BB509F"/>
    <w:rsid w:val="00BC7AC6"/>
    <w:rsid w:val="00BD2696"/>
    <w:rsid w:val="00BD4B6D"/>
    <w:rsid w:val="00BD4B76"/>
    <w:rsid w:val="00BD6F10"/>
    <w:rsid w:val="00BE047E"/>
    <w:rsid w:val="00BE0F27"/>
    <w:rsid w:val="00BE36D2"/>
    <w:rsid w:val="00BE5828"/>
    <w:rsid w:val="00BE647F"/>
    <w:rsid w:val="00BF0511"/>
    <w:rsid w:val="00BF0690"/>
    <w:rsid w:val="00BF0DBD"/>
    <w:rsid w:val="00BF5311"/>
    <w:rsid w:val="00C00FAE"/>
    <w:rsid w:val="00C01A93"/>
    <w:rsid w:val="00C04548"/>
    <w:rsid w:val="00C15689"/>
    <w:rsid w:val="00C212D0"/>
    <w:rsid w:val="00C22834"/>
    <w:rsid w:val="00C243DB"/>
    <w:rsid w:val="00C260C2"/>
    <w:rsid w:val="00C340E4"/>
    <w:rsid w:val="00C437C5"/>
    <w:rsid w:val="00C45C51"/>
    <w:rsid w:val="00C52A25"/>
    <w:rsid w:val="00C555E0"/>
    <w:rsid w:val="00C67BA1"/>
    <w:rsid w:val="00C70204"/>
    <w:rsid w:val="00C70D30"/>
    <w:rsid w:val="00C712BD"/>
    <w:rsid w:val="00C7676E"/>
    <w:rsid w:val="00C777A6"/>
    <w:rsid w:val="00C807DC"/>
    <w:rsid w:val="00C8130C"/>
    <w:rsid w:val="00C81B44"/>
    <w:rsid w:val="00C822B3"/>
    <w:rsid w:val="00C82CE8"/>
    <w:rsid w:val="00C85960"/>
    <w:rsid w:val="00C85F2A"/>
    <w:rsid w:val="00C875A9"/>
    <w:rsid w:val="00C91D19"/>
    <w:rsid w:val="00C92F8D"/>
    <w:rsid w:val="00C94694"/>
    <w:rsid w:val="00C95BD7"/>
    <w:rsid w:val="00CA09C3"/>
    <w:rsid w:val="00CA4D9F"/>
    <w:rsid w:val="00CA7DBF"/>
    <w:rsid w:val="00CB045F"/>
    <w:rsid w:val="00CB123B"/>
    <w:rsid w:val="00CB7638"/>
    <w:rsid w:val="00CD03CD"/>
    <w:rsid w:val="00CD26A0"/>
    <w:rsid w:val="00CD2F45"/>
    <w:rsid w:val="00CD3B7C"/>
    <w:rsid w:val="00CD5E84"/>
    <w:rsid w:val="00CD61E3"/>
    <w:rsid w:val="00CD6E3C"/>
    <w:rsid w:val="00CD719E"/>
    <w:rsid w:val="00CE1AAA"/>
    <w:rsid w:val="00CE2153"/>
    <w:rsid w:val="00D036B2"/>
    <w:rsid w:val="00D03911"/>
    <w:rsid w:val="00D04A85"/>
    <w:rsid w:val="00D06E53"/>
    <w:rsid w:val="00D1037D"/>
    <w:rsid w:val="00D1212C"/>
    <w:rsid w:val="00D136B2"/>
    <w:rsid w:val="00D15E5C"/>
    <w:rsid w:val="00D166E6"/>
    <w:rsid w:val="00D23BD2"/>
    <w:rsid w:val="00D269F4"/>
    <w:rsid w:val="00D304D6"/>
    <w:rsid w:val="00D37E51"/>
    <w:rsid w:val="00D46036"/>
    <w:rsid w:val="00D47934"/>
    <w:rsid w:val="00D51897"/>
    <w:rsid w:val="00D566A6"/>
    <w:rsid w:val="00D5758E"/>
    <w:rsid w:val="00D61EE6"/>
    <w:rsid w:val="00D626F3"/>
    <w:rsid w:val="00D6279D"/>
    <w:rsid w:val="00D632CC"/>
    <w:rsid w:val="00D70E1B"/>
    <w:rsid w:val="00D71A79"/>
    <w:rsid w:val="00D74080"/>
    <w:rsid w:val="00D75F40"/>
    <w:rsid w:val="00D8366B"/>
    <w:rsid w:val="00D84EF9"/>
    <w:rsid w:val="00D854CB"/>
    <w:rsid w:val="00D85B1F"/>
    <w:rsid w:val="00D86D16"/>
    <w:rsid w:val="00DA196D"/>
    <w:rsid w:val="00DA3B00"/>
    <w:rsid w:val="00DA4227"/>
    <w:rsid w:val="00DA4C68"/>
    <w:rsid w:val="00DB01F1"/>
    <w:rsid w:val="00DB41F7"/>
    <w:rsid w:val="00DB58B1"/>
    <w:rsid w:val="00DC10E4"/>
    <w:rsid w:val="00DC39BE"/>
    <w:rsid w:val="00DD34E0"/>
    <w:rsid w:val="00DD3812"/>
    <w:rsid w:val="00DD4BC4"/>
    <w:rsid w:val="00DD57DA"/>
    <w:rsid w:val="00DD7904"/>
    <w:rsid w:val="00DE0886"/>
    <w:rsid w:val="00DE2C31"/>
    <w:rsid w:val="00DE4C14"/>
    <w:rsid w:val="00DF4A99"/>
    <w:rsid w:val="00E04164"/>
    <w:rsid w:val="00E044B5"/>
    <w:rsid w:val="00E07CD4"/>
    <w:rsid w:val="00E15ABF"/>
    <w:rsid w:val="00E21D5A"/>
    <w:rsid w:val="00E25948"/>
    <w:rsid w:val="00E2639F"/>
    <w:rsid w:val="00E43E59"/>
    <w:rsid w:val="00E4577B"/>
    <w:rsid w:val="00E4643D"/>
    <w:rsid w:val="00E5368C"/>
    <w:rsid w:val="00E61132"/>
    <w:rsid w:val="00E6161A"/>
    <w:rsid w:val="00E61934"/>
    <w:rsid w:val="00E63C95"/>
    <w:rsid w:val="00E645C7"/>
    <w:rsid w:val="00E64FFE"/>
    <w:rsid w:val="00E677F7"/>
    <w:rsid w:val="00E71383"/>
    <w:rsid w:val="00E719DD"/>
    <w:rsid w:val="00E87BEF"/>
    <w:rsid w:val="00E90F43"/>
    <w:rsid w:val="00E93A11"/>
    <w:rsid w:val="00E96B30"/>
    <w:rsid w:val="00EA1BD6"/>
    <w:rsid w:val="00EA3237"/>
    <w:rsid w:val="00EA525A"/>
    <w:rsid w:val="00EA6843"/>
    <w:rsid w:val="00EC158A"/>
    <w:rsid w:val="00EC30D1"/>
    <w:rsid w:val="00EC5BFF"/>
    <w:rsid w:val="00ED26CB"/>
    <w:rsid w:val="00ED2819"/>
    <w:rsid w:val="00ED678C"/>
    <w:rsid w:val="00EF1600"/>
    <w:rsid w:val="00EF2111"/>
    <w:rsid w:val="00EF34DF"/>
    <w:rsid w:val="00EF38B0"/>
    <w:rsid w:val="00F00F71"/>
    <w:rsid w:val="00F01F29"/>
    <w:rsid w:val="00F049D4"/>
    <w:rsid w:val="00F05C9E"/>
    <w:rsid w:val="00F062C3"/>
    <w:rsid w:val="00F124A1"/>
    <w:rsid w:val="00F13828"/>
    <w:rsid w:val="00F15EA2"/>
    <w:rsid w:val="00F163B6"/>
    <w:rsid w:val="00F1733A"/>
    <w:rsid w:val="00F173C9"/>
    <w:rsid w:val="00F1772A"/>
    <w:rsid w:val="00F273A7"/>
    <w:rsid w:val="00F274A6"/>
    <w:rsid w:val="00F27804"/>
    <w:rsid w:val="00F322DA"/>
    <w:rsid w:val="00F34411"/>
    <w:rsid w:val="00F34BD2"/>
    <w:rsid w:val="00F43AA1"/>
    <w:rsid w:val="00F46C39"/>
    <w:rsid w:val="00F47B3C"/>
    <w:rsid w:val="00F514A4"/>
    <w:rsid w:val="00F52CD8"/>
    <w:rsid w:val="00F53DAA"/>
    <w:rsid w:val="00F54362"/>
    <w:rsid w:val="00F543E5"/>
    <w:rsid w:val="00F5472F"/>
    <w:rsid w:val="00F60403"/>
    <w:rsid w:val="00F64468"/>
    <w:rsid w:val="00F64D19"/>
    <w:rsid w:val="00F66557"/>
    <w:rsid w:val="00F849C3"/>
    <w:rsid w:val="00F84E02"/>
    <w:rsid w:val="00F86A2E"/>
    <w:rsid w:val="00F87A18"/>
    <w:rsid w:val="00F91A1A"/>
    <w:rsid w:val="00F93212"/>
    <w:rsid w:val="00F93D02"/>
    <w:rsid w:val="00F94E64"/>
    <w:rsid w:val="00FA2CEC"/>
    <w:rsid w:val="00FA4F24"/>
    <w:rsid w:val="00FB2E07"/>
    <w:rsid w:val="00FB43B7"/>
    <w:rsid w:val="00FC5396"/>
    <w:rsid w:val="00FC774F"/>
    <w:rsid w:val="00FD1393"/>
    <w:rsid w:val="00FD4BC8"/>
    <w:rsid w:val="00FD67DB"/>
    <w:rsid w:val="00FD7B94"/>
    <w:rsid w:val="00FE02BE"/>
    <w:rsid w:val="00FE1E16"/>
    <w:rsid w:val="00FE208D"/>
    <w:rsid w:val="00FF1510"/>
    <w:rsid w:val="00FF17B5"/>
    <w:rsid w:val="00FF34E0"/>
    <w:rsid w:val="00FF3BD2"/>
    <w:rsid w:val="00FF45FB"/>
    <w:rsid w:val="00FF7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577422"/>
  <w14:defaultImageDpi w14:val="96"/>
  <w15:docId w15:val="{3D978F86-2719-4649-89AB-D54AFDAC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cs="Times New Roman"/>
    </w:rPr>
  </w:style>
  <w:style w:type="paragraph" w:styleId="Otsikko1">
    <w:name w:val="heading 1"/>
    <w:basedOn w:val="Normaali"/>
    <w:next w:val="Normaali"/>
    <w:link w:val="Otsikko1Char"/>
    <w:uiPriority w:val="9"/>
    <w:qFormat/>
    <w:rsid w:val="00690D7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Otsikko2">
    <w:name w:val="heading 2"/>
    <w:basedOn w:val="Normaali"/>
    <w:next w:val="Normaali"/>
    <w:link w:val="Otsikko2Char"/>
    <w:uiPriority w:val="9"/>
    <w:unhideWhenUsed/>
    <w:qFormat/>
    <w:rsid w:val="003F4EF9"/>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F4EF9"/>
    <w:pPr>
      <w:tabs>
        <w:tab w:val="center" w:pos="4536"/>
        <w:tab w:val="right" w:pos="9072"/>
      </w:tabs>
      <w:spacing w:after="0" w:line="240" w:lineRule="auto"/>
    </w:pPr>
  </w:style>
  <w:style w:type="character" w:customStyle="1" w:styleId="SelitetekstiChar">
    <w:name w:val="Seliteteksti Char"/>
    <w:basedOn w:val="Kappaleenoletusfontti"/>
    <w:link w:val="Seliteteksti"/>
    <w:uiPriority w:val="99"/>
    <w:semiHidden/>
    <w:locked/>
    <w:rsid w:val="008D0EA4"/>
    <w:rPr>
      <w:rFonts w:ascii="Tahoma" w:hAnsi="Tahoma" w:cs="Tahoma"/>
      <w:sz w:val="16"/>
      <w:szCs w:val="16"/>
    </w:rPr>
  </w:style>
  <w:style w:type="character" w:customStyle="1" w:styleId="Otsikko2Char">
    <w:name w:val="Otsikko 2 Char"/>
    <w:basedOn w:val="Kappaleenoletusfontti"/>
    <w:link w:val="Otsikko2"/>
    <w:uiPriority w:val="9"/>
    <w:locked/>
    <w:rsid w:val="003F4EF9"/>
    <w:rPr>
      <w:rFonts w:asciiTheme="majorHAnsi" w:eastAsiaTheme="majorEastAsia" w:hAnsiTheme="majorHAnsi" w:cs="Times New Roman"/>
      <w:b/>
      <w:bCs/>
      <w:color w:val="4F81BD" w:themeColor="accent1"/>
      <w:sz w:val="26"/>
      <w:szCs w:val="26"/>
    </w:rPr>
  </w:style>
  <w:style w:type="character" w:customStyle="1" w:styleId="Otsikko1Char">
    <w:name w:val="Otsikko 1 Char"/>
    <w:basedOn w:val="Kappaleenoletusfontti"/>
    <w:link w:val="Otsikko1"/>
    <w:uiPriority w:val="9"/>
    <w:locked/>
    <w:rsid w:val="00690D7E"/>
    <w:rPr>
      <w:rFonts w:asciiTheme="majorHAnsi" w:eastAsiaTheme="majorEastAsia" w:hAnsiTheme="majorHAnsi" w:cs="Times New Roman"/>
      <w:b/>
      <w:bCs/>
      <w:color w:val="365F91" w:themeColor="accent1" w:themeShade="BF"/>
      <w:sz w:val="28"/>
      <w:szCs w:val="28"/>
    </w:rPr>
  </w:style>
  <w:style w:type="paragraph" w:styleId="Sisluet2">
    <w:name w:val="toc 2"/>
    <w:basedOn w:val="Normaali"/>
    <w:next w:val="Normaali"/>
    <w:autoRedefine/>
    <w:uiPriority w:val="39"/>
    <w:unhideWhenUsed/>
    <w:rsid w:val="003F4EF9"/>
    <w:pPr>
      <w:spacing w:after="100"/>
      <w:ind w:left="220"/>
    </w:pPr>
  </w:style>
  <w:style w:type="paragraph" w:customStyle="1" w:styleId="Default">
    <w:name w:val="Default"/>
    <w:rsid w:val="00690D7E"/>
    <w:pPr>
      <w:autoSpaceDE w:val="0"/>
      <w:autoSpaceDN w:val="0"/>
      <w:adjustRightInd w:val="0"/>
      <w:spacing w:after="0" w:line="240" w:lineRule="auto"/>
    </w:pPr>
    <w:rPr>
      <w:rFonts w:ascii="Verdana" w:hAnsi="Verdana" w:cs="Verdana"/>
      <w:color w:val="000000"/>
      <w:sz w:val="24"/>
      <w:szCs w:val="24"/>
      <w:lang w:val="nl-NL"/>
    </w:rPr>
  </w:style>
  <w:style w:type="character" w:customStyle="1" w:styleId="YltunnisteChar">
    <w:name w:val="Ylätunniste Char"/>
    <w:basedOn w:val="Kappaleenoletusfontti"/>
    <w:link w:val="Yltunniste"/>
    <w:uiPriority w:val="99"/>
    <w:locked/>
    <w:rsid w:val="003F4EF9"/>
    <w:rPr>
      <w:rFonts w:cs="Times New Roman"/>
    </w:rPr>
  </w:style>
  <w:style w:type="paragraph" w:styleId="Otsikko">
    <w:name w:val="Title"/>
    <w:basedOn w:val="Normaali"/>
    <w:next w:val="Normaali"/>
    <w:link w:val="OtsikkoChar"/>
    <w:uiPriority w:val="10"/>
    <w:qFormat/>
    <w:rsid w:val="004148E1"/>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table" w:styleId="TaulukkoRuudukko">
    <w:name w:val="Table Grid"/>
    <w:basedOn w:val="Normaalitaulukko"/>
    <w:uiPriority w:val="59"/>
    <w:rsid w:val="004148E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8D0EA4"/>
    <w:pPr>
      <w:ind w:left="720"/>
      <w:contextualSpacing/>
    </w:pPr>
  </w:style>
  <w:style w:type="character" w:customStyle="1" w:styleId="OtsikkoChar">
    <w:name w:val="Otsikko Char"/>
    <w:basedOn w:val="Kappaleenoletusfontti"/>
    <w:link w:val="Otsikko"/>
    <w:uiPriority w:val="10"/>
    <w:locked/>
    <w:rsid w:val="004148E1"/>
    <w:rPr>
      <w:rFonts w:asciiTheme="majorHAnsi" w:eastAsiaTheme="majorEastAsia" w:hAnsiTheme="majorHAnsi" w:cs="Times New Roman"/>
      <w:color w:val="17365D" w:themeColor="text2" w:themeShade="BF"/>
      <w:spacing w:val="5"/>
      <w:kern w:val="28"/>
      <w:sz w:val="52"/>
      <w:szCs w:val="52"/>
    </w:rPr>
  </w:style>
  <w:style w:type="character" w:styleId="Kommentinviite">
    <w:name w:val="annotation reference"/>
    <w:basedOn w:val="Kappaleenoletusfontti"/>
    <w:uiPriority w:val="99"/>
    <w:semiHidden/>
    <w:unhideWhenUsed/>
    <w:rsid w:val="008D0EA4"/>
    <w:rPr>
      <w:rFonts w:cs="Times New Roman"/>
      <w:sz w:val="16"/>
      <w:szCs w:val="16"/>
    </w:rPr>
  </w:style>
  <w:style w:type="paragraph" w:styleId="Kommentinteksti">
    <w:name w:val="annotation text"/>
    <w:basedOn w:val="Normaali"/>
    <w:link w:val="KommentintekstiChar"/>
    <w:uiPriority w:val="99"/>
    <w:unhideWhenUsed/>
    <w:rsid w:val="008D0EA4"/>
    <w:pPr>
      <w:spacing w:line="240" w:lineRule="auto"/>
    </w:pPr>
    <w:rPr>
      <w:sz w:val="20"/>
      <w:szCs w:val="20"/>
    </w:rPr>
  </w:style>
  <w:style w:type="character" w:customStyle="1" w:styleId="BalloonTextChar">
    <w:name w:val="Balloon Text Char"/>
    <w:basedOn w:val="Kappaleenoletusfontti"/>
    <w:uiPriority w:val="99"/>
    <w:semiHidden/>
    <w:rPr>
      <w:rFonts w:cs="Times New Roman"/>
      <w:sz w:val="18"/>
      <w:szCs w:val="18"/>
    </w:rPr>
  </w:style>
  <w:style w:type="paragraph" w:styleId="Seliteteksti">
    <w:name w:val="Balloon Text"/>
    <w:basedOn w:val="Normaali"/>
    <w:link w:val="SelitetekstiChar"/>
    <w:uiPriority w:val="99"/>
    <w:semiHidden/>
    <w:unhideWhenUsed/>
    <w:rsid w:val="008D0EA4"/>
    <w:pPr>
      <w:spacing w:after="0" w:line="240" w:lineRule="auto"/>
    </w:pPr>
    <w:rPr>
      <w:rFonts w:ascii="Tahoma" w:hAnsi="Tahoma" w:cs="Tahoma"/>
      <w:sz w:val="16"/>
      <w:szCs w:val="16"/>
    </w:rPr>
  </w:style>
  <w:style w:type="character" w:customStyle="1" w:styleId="BobletekstTegn">
    <w:name w:val="Bobletekst Tegn"/>
    <w:basedOn w:val="Kappaleenoletusfontti"/>
    <w:uiPriority w:val="99"/>
    <w:semiHidden/>
    <w:rPr>
      <w:sz w:val="18"/>
      <w:szCs w:val="18"/>
    </w:rPr>
  </w:style>
  <w:style w:type="character" w:customStyle="1" w:styleId="KommentintekstiChar">
    <w:name w:val="Kommentin teksti Char"/>
    <w:basedOn w:val="Kappaleenoletusfontti"/>
    <w:link w:val="Kommentinteksti"/>
    <w:uiPriority w:val="99"/>
    <w:locked/>
    <w:rsid w:val="008D0EA4"/>
    <w:rPr>
      <w:rFonts w:cs="Times New Roman"/>
      <w:sz w:val="20"/>
      <w:szCs w:val="20"/>
    </w:rPr>
  </w:style>
  <w:style w:type="character" w:customStyle="1" w:styleId="BallontekstChar">
    <w:name w:val="Ballontekst Char"/>
    <w:basedOn w:val="Kappaleenoletusfontti"/>
    <w:uiPriority w:val="99"/>
    <w:semiHidden/>
    <w:rPr>
      <w:rFonts w:cs="Times New Roman"/>
      <w:sz w:val="18"/>
      <w:szCs w:val="18"/>
    </w:rPr>
  </w:style>
  <w:style w:type="character" w:customStyle="1" w:styleId="BallontekstChar13">
    <w:name w:val="Ballontekst Char13"/>
    <w:basedOn w:val="Kappaleenoletusfontti"/>
    <w:uiPriority w:val="99"/>
    <w:semiHidden/>
    <w:rPr>
      <w:rFonts w:cs="Times New Roman"/>
      <w:sz w:val="18"/>
      <w:szCs w:val="18"/>
    </w:rPr>
  </w:style>
  <w:style w:type="character" w:customStyle="1" w:styleId="BallontekstChar10">
    <w:name w:val="Ballontekst Char10"/>
    <w:basedOn w:val="Kappaleenoletusfontti"/>
    <w:uiPriority w:val="99"/>
    <w:semiHidden/>
    <w:rPr>
      <w:rFonts w:cs="Times New Roman"/>
      <w:sz w:val="18"/>
      <w:szCs w:val="18"/>
    </w:rPr>
  </w:style>
  <w:style w:type="character" w:customStyle="1" w:styleId="BallontekstChar9">
    <w:name w:val="Ballontekst Char9"/>
    <w:basedOn w:val="Kappaleenoletusfontti"/>
    <w:uiPriority w:val="99"/>
    <w:semiHidden/>
    <w:rPr>
      <w:rFonts w:cs="Times New Roman"/>
      <w:sz w:val="18"/>
      <w:szCs w:val="18"/>
    </w:rPr>
  </w:style>
  <w:style w:type="character" w:customStyle="1" w:styleId="BallontekstChar8">
    <w:name w:val="Ballontekst Char8"/>
    <w:basedOn w:val="Kappaleenoletusfontti"/>
    <w:uiPriority w:val="99"/>
    <w:semiHidden/>
    <w:rPr>
      <w:rFonts w:cs="Times New Roman"/>
      <w:sz w:val="18"/>
      <w:szCs w:val="18"/>
    </w:rPr>
  </w:style>
  <w:style w:type="character" w:customStyle="1" w:styleId="BallontekstChar7">
    <w:name w:val="Ballontekst Char7"/>
    <w:basedOn w:val="Kappaleenoletusfontti"/>
    <w:uiPriority w:val="99"/>
    <w:semiHidden/>
    <w:rPr>
      <w:rFonts w:cs="Times New Roman"/>
      <w:sz w:val="18"/>
      <w:szCs w:val="18"/>
    </w:rPr>
  </w:style>
  <w:style w:type="character" w:customStyle="1" w:styleId="BallontekstChar6">
    <w:name w:val="Ballontekst Char6"/>
    <w:basedOn w:val="Kappaleenoletusfontti"/>
    <w:uiPriority w:val="99"/>
    <w:semiHidden/>
    <w:rPr>
      <w:rFonts w:cs="Times New Roman"/>
      <w:sz w:val="18"/>
      <w:szCs w:val="18"/>
    </w:rPr>
  </w:style>
  <w:style w:type="character" w:customStyle="1" w:styleId="BallontekstChar5">
    <w:name w:val="Ballontekst Char5"/>
    <w:basedOn w:val="Kappaleenoletusfontti"/>
    <w:uiPriority w:val="99"/>
    <w:semiHidden/>
    <w:rPr>
      <w:rFonts w:cs="Times New Roman"/>
      <w:sz w:val="18"/>
      <w:szCs w:val="18"/>
    </w:rPr>
  </w:style>
  <w:style w:type="character" w:customStyle="1" w:styleId="BallontekstChar4">
    <w:name w:val="Ballontekst Char4"/>
    <w:basedOn w:val="Kappaleenoletusfontti"/>
    <w:uiPriority w:val="99"/>
    <w:semiHidden/>
    <w:rPr>
      <w:rFonts w:cs="Times New Roman"/>
      <w:sz w:val="18"/>
      <w:szCs w:val="18"/>
    </w:rPr>
  </w:style>
  <w:style w:type="character" w:customStyle="1" w:styleId="BallontekstChar3">
    <w:name w:val="Ballontekst Char3"/>
    <w:basedOn w:val="Kappaleenoletusfontti"/>
    <w:uiPriority w:val="99"/>
    <w:semiHidden/>
    <w:rPr>
      <w:rFonts w:cs="Times New Roman"/>
      <w:sz w:val="18"/>
      <w:szCs w:val="18"/>
    </w:rPr>
  </w:style>
  <w:style w:type="character" w:customStyle="1" w:styleId="BallongtextChar">
    <w:name w:val="Ballongtext Char"/>
    <w:basedOn w:val="Kappaleenoletusfontti"/>
    <w:uiPriority w:val="99"/>
    <w:semiHidden/>
    <w:rPr>
      <w:rFonts w:cs="Times New Roman"/>
      <w:sz w:val="18"/>
      <w:szCs w:val="18"/>
    </w:rPr>
  </w:style>
  <w:style w:type="character" w:customStyle="1" w:styleId="BallongtextChar2">
    <w:name w:val="Ballongtext Char2"/>
    <w:basedOn w:val="Kappaleenoletusfontti"/>
    <w:uiPriority w:val="99"/>
    <w:semiHidden/>
    <w:rPr>
      <w:rFonts w:cs="Times New Roman"/>
      <w:sz w:val="18"/>
      <w:szCs w:val="18"/>
    </w:rPr>
  </w:style>
  <w:style w:type="character" w:customStyle="1" w:styleId="BallontekstChar1">
    <w:name w:val="Ballontekst Char1"/>
    <w:basedOn w:val="Kappaleenoletusfontti"/>
    <w:uiPriority w:val="99"/>
    <w:semiHidden/>
    <w:rPr>
      <w:rFonts w:cs="Times New Roman"/>
      <w:sz w:val="18"/>
      <w:szCs w:val="18"/>
    </w:rPr>
  </w:style>
  <w:style w:type="character" w:customStyle="1" w:styleId="BallontekstChar12">
    <w:name w:val="Ballontekst Char12"/>
    <w:basedOn w:val="Kappaleenoletusfontti"/>
    <w:uiPriority w:val="99"/>
    <w:semiHidden/>
    <w:rPr>
      <w:rFonts w:cs="Times New Roman"/>
      <w:sz w:val="18"/>
      <w:szCs w:val="18"/>
    </w:rPr>
  </w:style>
  <w:style w:type="character" w:customStyle="1" w:styleId="BallontekstChar11">
    <w:name w:val="Ballontekst Char11"/>
    <w:basedOn w:val="Kappaleenoletusfontti"/>
    <w:uiPriority w:val="99"/>
    <w:semiHidden/>
    <w:rPr>
      <w:rFonts w:cs="Times New Roman"/>
      <w:sz w:val="18"/>
      <w:szCs w:val="18"/>
    </w:rPr>
  </w:style>
  <w:style w:type="paragraph" w:styleId="Kommentinotsikko">
    <w:name w:val="annotation subject"/>
    <w:basedOn w:val="Kommentinteksti"/>
    <w:next w:val="Kommentinteksti"/>
    <w:link w:val="KommentinotsikkoChar"/>
    <w:uiPriority w:val="99"/>
    <w:semiHidden/>
    <w:unhideWhenUsed/>
    <w:rsid w:val="008D0EA4"/>
    <w:rPr>
      <w:b/>
      <w:bCs/>
    </w:rPr>
  </w:style>
  <w:style w:type="paragraph" w:styleId="Sisluet1">
    <w:name w:val="toc 1"/>
    <w:basedOn w:val="Normaali"/>
    <w:next w:val="Normaali"/>
    <w:autoRedefine/>
    <w:uiPriority w:val="39"/>
    <w:unhideWhenUsed/>
    <w:rsid w:val="00984BAB"/>
    <w:pPr>
      <w:tabs>
        <w:tab w:val="right" w:leader="dot" w:pos="9350"/>
      </w:tabs>
      <w:spacing w:after="100"/>
    </w:pPr>
  </w:style>
  <w:style w:type="paragraph" w:styleId="HTML-esimuotoiltu">
    <w:name w:val="HTML Preformatted"/>
    <w:basedOn w:val="Normaali"/>
    <w:link w:val="HTML-esimuotoiltuChar"/>
    <w:uiPriority w:val="99"/>
    <w:semiHidden/>
    <w:unhideWhenUsed/>
    <w:rsid w:val="00D62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nl-NL" w:eastAsia="nl-NL"/>
    </w:rPr>
  </w:style>
  <w:style w:type="paragraph" w:styleId="Sisllysluettelonotsikko">
    <w:name w:val="TOC Heading"/>
    <w:basedOn w:val="Otsikko1"/>
    <w:next w:val="Normaali"/>
    <w:uiPriority w:val="39"/>
    <w:semiHidden/>
    <w:unhideWhenUsed/>
    <w:qFormat/>
    <w:rsid w:val="000D7368"/>
    <w:pPr>
      <w:outlineLvl w:val="9"/>
    </w:pPr>
    <w:rPr>
      <w:lang w:val="nl-NL" w:eastAsia="nl-NL"/>
    </w:rPr>
  </w:style>
  <w:style w:type="character" w:customStyle="1" w:styleId="KommentinotsikkoChar">
    <w:name w:val="Kommentin otsikko Char"/>
    <w:basedOn w:val="KommentintekstiChar"/>
    <w:link w:val="Kommentinotsikko"/>
    <w:uiPriority w:val="99"/>
    <w:semiHidden/>
    <w:locked/>
    <w:rsid w:val="008D0EA4"/>
    <w:rPr>
      <w:rFonts w:cs="Times New Roman"/>
      <w:b/>
      <w:bCs/>
      <w:sz w:val="20"/>
      <w:szCs w:val="20"/>
    </w:rPr>
  </w:style>
  <w:style w:type="character" w:customStyle="1" w:styleId="HTML-esimuotoiltuChar">
    <w:name w:val="HTML-esimuotoiltu Char"/>
    <w:basedOn w:val="Kappaleenoletusfontti"/>
    <w:link w:val="HTML-esimuotoiltu"/>
    <w:uiPriority w:val="99"/>
    <w:semiHidden/>
    <w:locked/>
    <w:rsid w:val="00D6279D"/>
    <w:rPr>
      <w:rFonts w:ascii="Courier New" w:hAnsi="Courier New" w:cs="Courier New"/>
      <w:sz w:val="20"/>
      <w:szCs w:val="20"/>
      <w:lang w:val="nl-NL" w:eastAsia="nl-NL"/>
    </w:rPr>
  </w:style>
  <w:style w:type="character" w:styleId="Hyperlinkki">
    <w:name w:val="Hyperlink"/>
    <w:basedOn w:val="Kappaleenoletusfontti"/>
    <w:uiPriority w:val="99"/>
    <w:unhideWhenUsed/>
    <w:rsid w:val="000D7368"/>
    <w:rPr>
      <w:rFonts w:cs="Times New Roman"/>
      <w:color w:val="0000FF" w:themeColor="hyperlink"/>
      <w:u w:val="single"/>
    </w:rPr>
  </w:style>
  <w:style w:type="character" w:styleId="Voimakas">
    <w:name w:val="Strong"/>
    <w:basedOn w:val="Kappaleenoletusfontti"/>
    <w:uiPriority w:val="22"/>
    <w:qFormat/>
    <w:rsid w:val="0021328F"/>
    <w:rPr>
      <w:rFonts w:cs="Times New Roman"/>
      <w:b/>
      <w:bCs/>
    </w:rPr>
  </w:style>
  <w:style w:type="paragraph" w:styleId="Alatunniste">
    <w:name w:val="footer"/>
    <w:basedOn w:val="Normaali"/>
    <w:link w:val="AlatunnisteChar"/>
    <w:uiPriority w:val="99"/>
    <w:unhideWhenUsed/>
    <w:rsid w:val="003F4EF9"/>
    <w:pPr>
      <w:tabs>
        <w:tab w:val="center" w:pos="4536"/>
        <w:tab w:val="right" w:pos="9072"/>
      </w:tabs>
      <w:spacing w:after="0" w:line="240" w:lineRule="auto"/>
    </w:pPr>
  </w:style>
  <w:style w:type="character" w:styleId="AvattuHyperlinkki">
    <w:name w:val="FollowedHyperlink"/>
    <w:basedOn w:val="Kappaleenoletusfontti"/>
    <w:uiPriority w:val="99"/>
    <w:semiHidden/>
    <w:unhideWhenUsed/>
    <w:rsid w:val="0032653A"/>
    <w:rPr>
      <w:rFonts w:cs="Times New Roman"/>
      <w:color w:val="800080" w:themeColor="followedHyperlink"/>
      <w:u w:val="single"/>
    </w:rPr>
  </w:style>
  <w:style w:type="paragraph" w:styleId="Muutos">
    <w:name w:val="Revision"/>
    <w:hidden/>
    <w:uiPriority w:val="99"/>
    <w:semiHidden/>
    <w:rsid w:val="00BE047E"/>
    <w:pPr>
      <w:spacing w:after="0" w:line="240" w:lineRule="auto"/>
    </w:pPr>
    <w:rPr>
      <w:rFonts w:cs="Times New Roman"/>
    </w:rPr>
  </w:style>
  <w:style w:type="character" w:customStyle="1" w:styleId="AlatunnisteChar">
    <w:name w:val="Alatunniste Char"/>
    <w:basedOn w:val="Kappaleenoletusfontti"/>
    <w:link w:val="Alatunniste"/>
    <w:uiPriority w:val="99"/>
    <w:locked/>
    <w:rsid w:val="003F4EF9"/>
    <w:rPr>
      <w:rFonts w:cs="Times New Roman"/>
    </w:rPr>
  </w:style>
  <w:style w:type="character" w:styleId="Ratkaisematonmaininta">
    <w:name w:val="Unresolved Mention"/>
    <w:basedOn w:val="Kappaleenoletusfontti"/>
    <w:uiPriority w:val="99"/>
    <w:semiHidden/>
    <w:unhideWhenUsed/>
    <w:rsid w:val="00156121"/>
    <w:rPr>
      <w:rFonts w:cs="Times New Roman"/>
      <w:color w:val="605E5C"/>
      <w:shd w:val="clear" w:color="auto" w:fill="E1DFDD"/>
    </w:rPr>
  </w:style>
  <w:style w:type="character" w:customStyle="1" w:styleId="markedcontent">
    <w:name w:val="markedcontent"/>
    <w:basedOn w:val="Kappaleenoletusfontti"/>
    <w:rsid w:val="005D0B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337">
      <w:bodyDiv w:val="1"/>
      <w:marLeft w:val="0"/>
      <w:marRight w:val="0"/>
      <w:marTop w:val="0"/>
      <w:marBottom w:val="0"/>
      <w:divBdr>
        <w:top w:val="none" w:sz="0" w:space="0" w:color="auto"/>
        <w:left w:val="none" w:sz="0" w:space="0" w:color="auto"/>
        <w:bottom w:val="none" w:sz="0" w:space="0" w:color="auto"/>
        <w:right w:val="none" w:sz="0" w:space="0" w:color="auto"/>
      </w:divBdr>
    </w:div>
    <w:div w:id="267397443">
      <w:bodyDiv w:val="1"/>
      <w:marLeft w:val="0"/>
      <w:marRight w:val="0"/>
      <w:marTop w:val="0"/>
      <w:marBottom w:val="0"/>
      <w:divBdr>
        <w:top w:val="none" w:sz="0" w:space="0" w:color="auto"/>
        <w:left w:val="none" w:sz="0" w:space="0" w:color="auto"/>
        <w:bottom w:val="none" w:sz="0" w:space="0" w:color="auto"/>
        <w:right w:val="none" w:sz="0" w:space="0" w:color="auto"/>
      </w:divBdr>
    </w:div>
    <w:div w:id="552811117">
      <w:bodyDiv w:val="1"/>
      <w:marLeft w:val="0"/>
      <w:marRight w:val="0"/>
      <w:marTop w:val="0"/>
      <w:marBottom w:val="0"/>
      <w:divBdr>
        <w:top w:val="none" w:sz="0" w:space="0" w:color="auto"/>
        <w:left w:val="none" w:sz="0" w:space="0" w:color="auto"/>
        <w:bottom w:val="none" w:sz="0" w:space="0" w:color="auto"/>
        <w:right w:val="none" w:sz="0" w:space="0" w:color="auto"/>
      </w:divBdr>
    </w:div>
    <w:div w:id="694504854">
      <w:bodyDiv w:val="1"/>
      <w:marLeft w:val="0"/>
      <w:marRight w:val="0"/>
      <w:marTop w:val="0"/>
      <w:marBottom w:val="0"/>
      <w:divBdr>
        <w:top w:val="none" w:sz="0" w:space="0" w:color="auto"/>
        <w:left w:val="none" w:sz="0" w:space="0" w:color="auto"/>
        <w:bottom w:val="none" w:sz="0" w:space="0" w:color="auto"/>
        <w:right w:val="none" w:sz="0" w:space="0" w:color="auto"/>
      </w:divBdr>
    </w:div>
    <w:div w:id="1227912185">
      <w:bodyDiv w:val="1"/>
      <w:marLeft w:val="0"/>
      <w:marRight w:val="0"/>
      <w:marTop w:val="0"/>
      <w:marBottom w:val="0"/>
      <w:divBdr>
        <w:top w:val="none" w:sz="0" w:space="0" w:color="auto"/>
        <w:left w:val="none" w:sz="0" w:space="0" w:color="auto"/>
        <w:bottom w:val="none" w:sz="0" w:space="0" w:color="auto"/>
        <w:right w:val="none" w:sz="0" w:space="0" w:color="auto"/>
      </w:divBdr>
    </w:div>
    <w:div w:id="1412117858">
      <w:bodyDiv w:val="1"/>
      <w:marLeft w:val="0"/>
      <w:marRight w:val="0"/>
      <w:marTop w:val="0"/>
      <w:marBottom w:val="0"/>
      <w:divBdr>
        <w:top w:val="none" w:sz="0" w:space="0" w:color="auto"/>
        <w:left w:val="none" w:sz="0" w:space="0" w:color="auto"/>
        <w:bottom w:val="none" w:sz="0" w:space="0" w:color="auto"/>
        <w:right w:val="none" w:sz="0" w:space="0" w:color="auto"/>
      </w:divBdr>
    </w:div>
    <w:div w:id="1545210730">
      <w:bodyDiv w:val="1"/>
      <w:marLeft w:val="0"/>
      <w:marRight w:val="0"/>
      <w:marTop w:val="0"/>
      <w:marBottom w:val="0"/>
      <w:divBdr>
        <w:top w:val="none" w:sz="0" w:space="0" w:color="auto"/>
        <w:left w:val="none" w:sz="0" w:space="0" w:color="auto"/>
        <w:bottom w:val="none" w:sz="0" w:space="0" w:color="auto"/>
        <w:right w:val="none" w:sz="0" w:space="0" w:color="auto"/>
      </w:divBdr>
    </w:div>
    <w:div w:id="1653292573">
      <w:bodyDiv w:val="1"/>
      <w:marLeft w:val="0"/>
      <w:marRight w:val="0"/>
      <w:marTop w:val="0"/>
      <w:marBottom w:val="0"/>
      <w:divBdr>
        <w:top w:val="none" w:sz="0" w:space="0" w:color="auto"/>
        <w:left w:val="none" w:sz="0" w:space="0" w:color="auto"/>
        <w:bottom w:val="none" w:sz="0" w:space="0" w:color="auto"/>
        <w:right w:val="none" w:sz="0" w:space="0" w:color="auto"/>
      </w:divBdr>
    </w:div>
    <w:div w:id="1770542285">
      <w:marLeft w:val="0"/>
      <w:marRight w:val="0"/>
      <w:marTop w:val="0"/>
      <w:marBottom w:val="0"/>
      <w:divBdr>
        <w:top w:val="none" w:sz="0" w:space="0" w:color="auto"/>
        <w:left w:val="none" w:sz="0" w:space="0" w:color="auto"/>
        <w:bottom w:val="none" w:sz="0" w:space="0" w:color="auto"/>
        <w:right w:val="none" w:sz="0" w:space="0" w:color="auto"/>
      </w:divBdr>
    </w:div>
    <w:div w:id="1770542306">
      <w:marLeft w:val="0"/>
      <w:marRight w:val="0"/>
      <w:marTop w:val="0"/>
      <w:marBottom w:val="0"/>
      <w:divBdr>
        <w:top w:val="none" w:sz="0" w:space="0" w:color="auto"/>
        <w:left w:val="none" w:sz="0" w:space="0" w:color="auto"/>
        <w:bottom w:val="none" w:sz="0" w:space="0" w:color="auto"/>
        <w:right w:val="none" w:sz="0" w:space="0" w:color="auto"/>
      </w:divBdr>
    </w:div>
    <w:div w:id="1770542311">
      <w:marLeft w:val="0"/>
      <w:marRight w:val="0"/>
      <w:marTop w:val="0"/>
      <w:marBottom w:val="0"/>
      <w:divBdr>
        <w:top w:val="none" w:sz="0" w:space="0" w:color="auto"/>
        <w:left w:val="none" w:sz="0" w:space="0" w:color="auto"/>
        <w:bottom w:val="none" w:sz="0" w:space="0" w:color="auto"/>
        <w:right w:val="none" w:sz="0" w:space="0" w:color="auto"/>
      </w:divBdr>
      <w:divsChild>
        <w:div w:id="1770542307">
          <w:marLeft w:val="0"/>
          <w:marRight w:val="0"/>
          <w:marTop w:val="0"/>
          <w:marBottom w:val="0"/>
          <w:divBdr>
            <w:top w:val="none" w:sz="0" w:space="0" w:color="auto"/>
            <w:left w:val="none" w:sz="0" w:space="0" w:color="auto"/>
            <w:bottom w:val="none" w:sz="0" w:space="0" w:color="auto"/>
            <w:right w:val="none" w:sz="0" w:space="0" w:color="auto"/>
          </w:divBdr>
          <w:divsChild>
            <w:div w:id="1770542294">
              <w:marLeft w:val="0"/>
              <w:marRight w:val="0"/>
              <w:marTop w:val="0"/>
              <w:marBottom w:val="0"/>
              <w:divBdr>
                <w:top w:val="none" w:sz="0" w:space="0" w:color="auto"/>
                <w:left w:val="none" w:sz="0" w:space="0" w:color="auto"/>
                <w:bottom w:val="none" w:sz="0" w:space="0" w:color="auto"/>
                <w:right w:val="none" w:sz="0" w:space="0" w:color="auto"/>
              </w:divBdr>
              <w:divsChild>
                <w:div w:id="1770542312">
                  <w:marLeft w:val="0"/>
                  <w:marRight w:val="0"/>
                  <w:marTop w:val="0"/>
                  <w:marBottom w:val="0"/>
                  <w:divBdr>
                    <w:top w:val="none" w:sz="0" w:space="0" w:color="auto"/>
                    <w:left w:val="none" w:sz="0" w:space="0" w:color="auto"/>
                    <w:bottom w:val="none" w:sz="0" w:space="0" w:color="auto"/>
                    <w:right w:val="none" w:sz="0" w:space="0" w:color="auto"/>
                  </w:divBdr>
                  <w:divsChild>
                    <w:div w:id="1770542331">
                      <w:marLeft w:val="0"/>
                      <w:marRight w:val="0"/>
                      <w:marTop w:val="45"/>
                      <w:marBottom w:val="0"/>
                      <w:divBdr>
                        <w:top w:val="none" w:sz="0" w:space="0" w:color="auto"/>
                        <w:left w:val="none" w:sz="0" w:space="0" w:color="auto"/>
                        <w:bottom w:val="none" w:sz="0" w:space="0" w:color="auto"/>
                        <w:right w:val="none" w:sz="0" w:space="0" w:color="auto"/>
                      </w:divBdr>
                      <w:divsChild>
                        <w:div w:id="1770542302">
                          <w:marLeft w:val="0"/>
                          <w:marRight w:val="0"/>
                          <w:marTop w:val="0"/>
                          <w:marBottom w:val="0"/>
                          <w:divBdr>
                            <w:top w:val="none" w:sz="0" w:space="0" w:color="auto"/>
                            <w:left w:val="none" w:sz="0" w:space="0" w:color="auto"/>
                            <w:bottom w:val="none" w:sz="0" w:space="0" w:color="auto"/>
                            <w:right w:val="none" w:sz="0" w:space="0" w:color="auto"/>
                          </w:divBdr>
                          <w:divsChild>
                            <w:div w:id="1770542316">
                              <w:marLeft w:val="2070"/>
                              <w:marRight w:val="3960"/>
                              <w:marTop w:val="0"/>
                              <w:marBottom w:val="0"/>
                              <w:divBdr>
                                <w:top w:val="none" w:sz="0" w:space="0" w:color="auto"/>
                                <w:left w:val="none" w:sz="0" w:space="0" w:color="auto"/>
                                <w:bottom w:val="none" w:sz="0" w:space="0" w:color="auto"/>
                                <w:right w:val="none" w:sz="0" w:space="0" w:color="auto"/>
                              </w:divBdr>
                              <w:divsChild>
                                <w:div w:id="1770542323">
                                  <w:marLeft w:val="0"/>
                                  <w:marRight w:val="0"/>
                                  <w:marTop w:val="0"/>
                                  <w:marBottom w:val="0"/>
                                  <w:divBdr>
                                    <w:top w:val="none" w:sz="0" w:space="0" w:color="auto"/>
                                    <w:left w:val="none" w:sz="0" w:space="0" w:color="auto"/>
                                    <w:bottom w:val="none" w:sz="0" w:space="0" w:color="auto"/>
                                    <w:right w:val="none" w:sz="0" w:space="0" w:color="auto"/>
                                  </w:divBdr>
                                  <w:divsChild>
                                    <w:div w:id="1770542325">
                                      <w:marLeft w:val="0"/>
                                      <w:marRight w:val="0"/>
                                      <w:marTop w:val="0"/>
                                      <w:marBottom w:val="0"/>
                                      <w:divBdr>
                                        <w:top w:val="none" w:sz="0" w:space="0" w:color="auto"/>
                                        <w:left w:val="none" w:sz="0" w:space="0" w:color="auto"/>
                                        <w:bottom w:val="none" w:sz="0" w:space="0" w:color="auto"/>
                                        <w:right w:val="none" w:sz="0" w:space="0" w:color="auto"/>
                                      </w:divBdr>
                                      <w:divsChild>
                                        <w:div w:id="1770542321">
                                          <w:marLeft w:val="0"/>
                                          <w:marRight w:val="0"/>
                                          <w:marTop w:val="0"/>
                                          <w:marBottom w:val="0"/>
                                          <w:divBdr>
                                            <w:top w:val="none" w:sz="0" w:space="0" w:color="auto"/>
                                            <w:left w:val="none" w:sz="0" w:space="0" w:color="auto"/>
                                            <w:bottom w:val="none" w:sz="0" w:space="0" w:color="auto"/>
                                            <w:right w:val="none" w:sz="0" w:space="0" w:color="auto"/>
                                          </w:divBdr>
                                          <w:divsChild>
                                            <w:div w:id="1770542310">
                                              <w:marLeft w:val="0"/>
                                              <w:marRight w:val="0"/>
                                              <w:marTop w:val="90"/>
                                              <w:marBottom w:val="0"/>
                                              <w:divBdr>
                                                <w:top w:val="none" w:sz="0" w:space="0" w:color="auto"/>
                                                <w:left w:val="none" w:sz="0" w:space="0" w:color="auto"/>
                                                <w:bottom w:val="none" w:sz="0" w:space="0" w:color="auto"/>
                                                <w:right w:val="none" w:sz="0" w:space="0" w:color="auto"/>
                                              </w:divBdr>
                                              <w:divsChild>
                                                <w:div w:id="1770542303">
                                                  <w:marLeft w:val="0"/>
                                                  <w:marRight w:val="0"/>
                                                  <w:marTop w:val="0"/>
                                                  <w:marBottom w:val="0"/>
                                                  <w:divBdr>
                                                    <w:top w:val="none" w:sz="0" w:space="0" w:color="auto"/>
                                                    <w:left w:val="none" w:sz="0" w:space="0" w:color="auto"/>
                                                    <w:bottom w:val="none" w:sz="0" w:space="0" w:color="auto"/>
                                                    <w:right w:val="none" w:sz="0" w:space="0" w:color="auto"/>
                                                  </w:divBdr>
                                                  <w:divsChild>
                                                    <w:div w:id="1770542301">
                                                      <w:marLeft w:val="0"/>
                                                      <w:marRight w:val="0"/>
                                                      <w:marTop w:val="0"/>
                                                      <w:marBottom w:val="0"/>
                                                      <w:divBdr>
                                                        <w:top w:val="none" w:sz="0" w:space="0" w:color="auto"/>
                                                        <w:left w:val="none" w:sz="0" w:space="0" w:color="auto"/>
                                                        <w:bottom w:val="none" w:sz="0" w:space="0" w:color="auto"/>
                                                        <w:right w:val="none" w:sz="0" w:space="0" w:color="auto"/>
                                                      </w:divBdr>
                                                      <w:divsChild>
                                                        <w:div w:id="1770542291">
                                                          <w:marLeft w:val="0"/>
                                                          <w:marRight w:val="0"/>
                                                          <w:marTop w:val="0"/>
                                                          <w:marBottom w:val="390"/>
                                                          <w:divBdr>
                                                            <w:top w:val="none" w:sz="0" w:space="0" w:color="auto"/>
                                                            <w:left w:val="none" w:sz="0" w:space="0" w:color="auto"/>
                                                            <w:bottom w:val="none" w:sz="0" w:space="0" w:color="auto"/>
                                                            <w:right w:val="none" w:sz="0" w:space="0" w:color="auto"/>
                                                          </w:divBdr>
                                                          <w:divsChild>
                                                            <w:div w:id="1770542314">
                                                              <w:marLeft w:val="0"/>
                                                              <w:marRight w:val="0"/>
                                                              <w:marTop w:val="0"/>
                                                              <w:marBottom w:val="0"/>
                                                              <w:divBdr>
                                                                <w:top w:val="none" w:sz="0" w:space="0" w:color="auto"/>
                                                                <w:left w:val="none" w:sz="0" w:space="0" w:color="auto"/>
                                                                <w:bottom w:val="none" w:sz="0" w:space="0" w:color="auto"/>
                                                                <w:right w:val="none" w:sz="0" w:space="0" w:color="auto"/>
                                                              </w:divBdr>
                                                              <w:divsChild>
                                                                <w:div w:id="1770542304">
                                                                  <w:marLeft w:val="0"/>
                                                                  <w:marRight w:val="0"/>
                                                                  <w:marTop w:val="0"/>
                                                                  <w:marBottom w:val="0"/>
                                                                  <w:divBdr>
                                                                    <w:top w:val="none" w:sz="0" w:space="0" w:color="auto"/>
                                                                    <w:left w:val="none" w:sz="0" w:space="0" w:color="auto"/>
                                                                    <w:bottom w:val="none" w:sz="0" w:space="0" w:color="auto"/>
                                                                    <w:right w:val="none" w:sz="0" w:space="0" w:color="auto"/>
                                                                  </w:divBdr>
                                                                  <w:divsChild>
                                                                    <w:div w:id="1770542313">
                                                                      <w:marLeft w:val="0"/>
                                                                      <w:marRight w:val="0"/>
                                                                      <w:marTop w:val="0"/>
                                                                      <w:marBottom w:val="0"/>
                                                                      <w:divBdr>
                                                                        <w:top w:val="none" w:sz="0" w:space="0" w:color="auto"/>
                                                                        <w:left w:val="none" w:sz="0" w:space="0" w:color="auto"/>
                                                                        <w:bottom w:val="none" w:sz="0" w:space="0" w:color="auto"/>
                                                                        <w:right w:val="none" w:sz="0" w:space="0" w:color="auto"/>
                                                                      </w:divBdr>
                                                                      <w:divsChild>
                                                                        <w:div w:id="1770542317">
                                                                          <w:marLeft w:val="0"/>
                                                                          <w:marRight w:val="0"/>
                                                                          <w:marTop w:val="0"/>
                                                                          <w:marBottom w:val="0"/>
                                                                          <w:divBdr>
                                                                            <w:top w:val="none" w:sz="0" w:space="0" w:color="auto"/>
                                                                            <w:left w:val="none" w:sz="0" w:space="0" w:color="auto"/>
                                                                            <w:bottom w:val="none" w:sz="0" w:space="0" w:color="auto"/>
                                                                            <w:right w:val="none" w:sz="0" w:space="0" w:color="auto"/>
                                                                          </w:divBdr>
                                                                          <w:divsChild>
                                                                            <w:div w:id="1770542295">
                                                                              <w:marLeft w:val="0"/>
                                                                              <w:marRight w:val="0"/>
                                                                              <w:marTop w:val="0"/>
                                                                              <w:marBottom w:val="0"/>
                                                                              <w:divBdr>
                                                                                <w:top w:val="none" w:sz="0" w:space="0" w:color="auto"/>
                                                                                <w:left w:val="none" w:sz="0" w:space="0" w:color="auto"/>
                                                                                <w:bottom w:val="none" w:sz="0" w:space="0" w:color="auto"/>
                                                                                <w:right w:val="none" w:sz="0" w:space="0" w:color="auto"/>
                                                                              </w:divBdr>
                                                                              <w:divsChild>
                                                                                <w:div w:id="1770542287">
                                                                                  <w:marLeft w:val="0"/>
                                                                                  <w:marRight w:val="0"/>
                                                                                  <w:marTop w:val="0"/>
                                                                                  <w:marBottom w:val="0"/>
                                                                                  <w:divBdr>
                                                                                    <w:top w:val="none" w:sz="0" w:space="0" w:color="auto"/>
                                                                                    <w:left w:val="none" w:sz="0" w:space="0" w:color="auto"/>
                                                                                    <w:bottom w:val="none" w:sz="0" w:space="0" w:color="auto"/>
                                                                                    <w:right w:val="none" w:sz="0" w:space="0" w:color="auto"/>
                                                                                  </w:divBdr>
                                                                                  <w:divsChild>
                                                                                    <w:div w:id="1770542297">
                                                                                      <w:marLeft w:val="0"/>
                                                                                      <w:marRight w:val="0"/>
                                                                                      <w:marTop w:val="0"/>
                                                                                      <w:marBottom w:val="0"/>
                                                                                      <w:divBdr>
                                                                                        <w:top w:val="none" w:sz="0" w:space="0" w:color="auto"/>
                                                                                        <w:left w:val="none" w:sz="0" w:space="0" w:color="auto"/>
                                                                                        <w:bottom w:val="none" w:sz="0" w:space="0" w:color="auto"/>
                                                                                        <w:right w:val="none" w:sz="0" w:space="0" w:color="auto"/>
                                                                                      </w:divBdr>
                                                                                      <w:divsChild>
                                                                                        <w:div w:id="17705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542320">
      <w:marLeft w:val="0"/>
      <w:marRight w:val="0"/>
      <w:marTop w:val="0"/>
      <w:marBottom w:val="0"/>
      <w:divBdr>
        <w:top w:val="none" w:sz="0" w:space="0" w:color="auto"/>
        <w:left w:val="none" w:sz="0" w:space="0" w:color="auto"/>
        <w:bottom w:val="none" w:sz="0" w:space="0" w:color="auto"/>
        <w:right w:val="none" w:sz="0" w:space="0" w:color="auto"/>
      </w:divBdr>
    </w:div>
    <w:div w:id="1770542329">
      <w:marLeft w:val="0"/>
      <w:marRight w:val="0"/>
      <w:marTop w:val="0"/>
      <w:marBottom w:val="0"/>
      <w:divBdr>
        <w:top w:val="none" w:sz="0" w:space="0" w:color="auto"/>
        <w:left w:val="none" w:sz="0" w:space="0" w:color="auto"/>
        <w:bottom w:val="none" w:sz="0" w:space="0" w:color="auto"/>
        <w:right w:val="none" w:sz="0" w:space="0" w:color="auto"/>
      </w:divBdr>
      <w:divsChild>
        <w:div w:id="1770542328">
          <w:marLeft w:val="0"/>
          <w:marRight w:val="0"/>
          <w:marTop w:val="0"/>
          <w:marBottom w:val="0"/>
          <w:divBdr>
            <w:top w:val="none" w:sz="0" w:space="0" w:color="auto"/>
            <w:left w:val="none" w:sz="0" w:space="0" w:color="auto"/>
            <w:bottom w:val="none" w:sz="0" w:space="0" w:color="auto"/>
            <w:right w:val="none" w:sz="0" w:space="0" w:color="auto"/>
          </w:divBdr>
          <w:divsChild>
            <w:div w:id="1770542315">
              <w:marLeft w:val="0"/>
              <w:marRight w:val="0"/>
              <w:marTop w:val="0"/>
              <w:marBottom w:val="0"/>
              <w:divBdr>
                <w:top w:val="none" w:sz="0" w:space="0" w:color="auto"/>
                <w:left w:val="none" w:sz="0" w:space="0" w:color="auto"/>
                <w:bottom w:val="none" w:sz="0" w:space="0" w:color="auto"/>
                <w:right w:val="none" w:sz="0" w:space="0" w:color="auto"/>
              </w:divBdr>
              <w:divsChild>
                <w:div w:id="1770542293">
                  <w:marLeft w:val="0"/>
                  <w:marRight w:val="0"/>
                  <w:marTop w:val="0"/>
                  <w:marBottom w:val="0"/>
                  <w:divBdr>
                    <w:top w:val="none" w:sz="0" w:space="0" w:color="auto"/>
                    <w:left w:val="none" w:sz="0" w:space="0" w:color="auto"/>
                    <w:bottom w:val="none" w:sz="0" w:space="0" w:color="auto"/>
                    <w:right w:val="none" w:sz="0" w:space="0" w:color="auto"/>
                  </w:divBdr>
                  <w:divsChild>
                    <w:div w:id="1770542296">
                      <w:marLeft w:val="0"/>
                      <w:marRight w:val="0"/>
                      <w:marTop w:val="45"/>
                      <w:marBottom w:val="0"/>
                      <w:divBdr>
                        <w:top w:val="none" w:sz="0" w:space="0" w:color="auto"/>
                        <w:left w:val="none" w:sz="0" w:space="0" w:color="auto"/>
                        <w:bottom w:val="none" w:sz="0" w:space="0" w:color="auto"/>
                        <w:right w:val="none" w:sz="0" w:space="0" w:color="auto"/>
                      </w:divBdr>
                      <w:divsChild>
                        <w:div w:id="1770542305">
                          <w:marLeft w:val="0"/>
                          <w:marRight w:val="0"/>
                          <w:marTop w:val="0"/>
                          <w:marBottom w:val="0"/>
                          <w:divBdr>
                            <w:top w:val="none" w:sz="0" w:space="0" w:color="auto"/>
                            <w:left w:val="none" w:sz="0" w:space="0" w:color="auto"/>
                            <w:bottom w:val="none" w:sz="0" w:space="0" w:color="auto"/>
                            <w:right w:val="none" w:sz="0" w:space="0" w:color="auto"/>
                          </w:divBdr>
                          <w:divsChild>
                            <w:div w:id="1770542308">
                              <w:marLeft w:val="2070"/>
                              <w:marRight w:val="3960"/>
                              <w:marTop w:val="0"/>
                              <w:marBottom w:val="0"/>
                              <w:divBdr>
                                <w:top w:val="none" w:sz="0" w:space="0" w:color="auto"/>
                                <w:left w:val="none" w:sz="0" w:space="0" w:color="auto"/>
                                <w:bottom w:val="none" w:sz="0" w:space="0" w:color="auto"/>
                                <w:right w:val="none" w:sz="0" w:space="0" w:color="auto"/>
                              </w:divBdr>
                              <w:divsChild>
                                <w:div w:id="1770542322">
                                  <w:marLeft w:val="0"/>
                                  <w:marRight w:val="0"/>
                                  <w:marTop w:val="0"/>
                                  <w:marBottom w:val="0"/>
                                  <w:divBdr>
                                    <w:top w:val="none" w:sz="0" w:space="0" w:color="auto"/>
                                    <w:left w:val="none" w:sz="0" w:space="0" w:color="auto"/>
                                    <w:bottom w:val="none" w:sz="0" w:space="0" w:color="auto"/>
                                    <w:right w:val="none" w:sz="0" w:space="0" w:color="auto"/>
                                  </w:divBdr>
                                  <w:divsChild>
                                    <w:div w:id="1770542288">
                                      <w:marLeft w:val="0"/>
                                      <w:marRight w:val="0"/>
                                      <w:marTop w:val="0"/>
                                      <w:marBottom w:val="0"/>
                                      <w:divBdr>
                                        <w:top w:val="none" w:sz="0" w:space="0" w:color="auto"/>
                                        <w:left w:val="none" w:sz="0" w:space="0" w:color="auto"/>
                                        <w:bottom w:val="none" w:sz="0" w:space="0" w:color="auto"/>
                                        <w:right w:val="none" w:sz="0" w:space="0" w:color="auto"/>
                                      </w:divBdr>
                                      <w:divsChild>
                                        <w:div w:id="1770542286">
                                          <w:marLeft w:val="0"/>
                                          <w:marRight w:val="0"/>
                                          <w:marTop w:val="0"/>
                                          <w:marBottom w:val="0"/>
                                          <w:divBdr>
                                            <w:top w:val="none" w:sz="0" w:space="0" w:color="auto"/>
                                            <w:left w:val="none" w:sz="0" w:space="0" w:color="auto"/>
                                            <w:bottom w:val="none" w:sz="0" w:space="0" w:color="auto"/>
                                            <w:right w:val="none" w:sz="0" w:space="0" w:color="auto"/>
                                          </w:divBdr>
                                          <w:divsChild>
                                            <w:div w:id="1770542330">
                                              <w:marLeft w:val="0"/>
                                              <w:marRight w:val="0"/>
                                              <w:marTop w:val="90"/>
                                              <w:marBottom w:val="0"/>
                                              <w:divBdr>
                                                <w:top w:val="none" w:sz="0" w:space="0" w:color="auto"/>
                                                <w:left w:val="none" w:sz="0" w:space="0" w:color="auto"/>
                                                <w:bottom w:val="none" w:sz="0" w:space="0" w:color="auto"/>
                                                <w:right w:val="none" w:sz="0" w:space="0" w:color="auto"/>
                                              </w:divBdr>
                                              <w:divsChild>
                                                <w:div w:id="1770542324">
                                                  <w:marLeft w:val="0"/>
                                                  <w:marRight w:val="0"/>
                                                  <w:marTop w:val="0"/>
                                                  <w:marBottom w:val="0"/>
                                                  <w:divBdr>
                                                    <w:top w:val="none" w:sz="0" w:space="0" w:color="auto"/>
                                                    <w:left w:val="none" w:sz="0" w:space="0" w:color="auto"/>
                                                    <w:bottom w:val="none" w:sz="0" w:space="0" w:color="auto"/>
                                                    <w:right w:val="none" w:sz="0" w:space="0" w:color="auto"/>
                                                  </w:divBdr>
                                                  <w:divsChild>
                                                    <w:div w:id="1770542289">
                                                      <w:marLeft w:val="0"/>
                                                      <w:marRight w:val="0"/>
                                                      <w:marTop w:val="0"/>
                                                      <w:marBottom w:val="0"/>
                                                      <w:divBdr>
                                                        <w:top w:val="none" w:sz="0" w:space="0" w:color="auto"/>
                                                        <w:left w:val="none" w:sz="0" w:space="0" w:color="auto"/>
                                                        <w:bottom w:val="none" w:sz="0" w:space="0" w:color="auto"/>
                                                        <w:right w:val="none" w:sz="0" w:space="0" w:color="auto"/>
                                                      </w:divBdr>
                                                      <w:divsChild>
                                                        <w:div w:id="1770542326">
                                                          <w:marLeft w:val="0"/>
                                                          <w:marRight w:val="0"/>
                                                          <w:marTop w:val="0"/>
                                                          <w:marBottom w:val="390"/>
                                                          <w:divBdr>
                                                            <w:top w:val="none" w:sz="0" w:space="0" w:color="auto"/>
                                                            <w:left w:val="none" w:sz="0" w:space="0" w:color="auto"/>
                                                            <w:bottom w:val="none" w:sz="0" w:space="0" w:color="auto"/>
                                                            <w:right w:val="none" w:sz="0" w:space="0" w:color="auto"/>
                                                          </w:divBdr>
                                                          <w:divsChild>
                                                            <w:div w:id="1770542290">
                                                              <w:marLeft w:val="0"/>
                                                              <w:marRight w:val="0"/>
                                                              <w:marTop w:val="0"/>
                                                              <w:marBottom w:val="0"/>
                                                              <w:divBdr>
                                                                <w:top w:val="none" w:sz="0" w:space="0" w:color="auto"/>
                                                                <w:left w:val="none" w:sz="0" w:space="0" w:color="auto"/>
                                                                <w:bottom w:val="none" w:sz="0" w:space="0" w:color="auto"/>
                                                                <w:right w:val="none" w:sz="0" w:space="0" w:color="auto"/>
                                                              </w:divBdr>
                                                              <w:divsChild>
                                                                <w:div w:id="1770542299">
                                                                  <w:marLeft w:val="0"/>
                                                                  <w:marRight w:val="0"/>
                                                                  <w:marTop w:val="0"/>
                                                                  <w:marBottom w:val="0"/>
                                                                  <w:divBdr>
                                                                    <w:top w:val="none" w:sz="0" w:space="0" w:color="auto"/>
                                                                    <w:left w:val="none" w:sz="0" w:space="0" w:color="auto"/>
                                                                    <w:bottom w:val="none" w:sz="0" w:space="0" w:color="auto"/>
                                                                    <w:right w:val="none" w:sz="0" w:space="0" w:color="auto"/>
                                                                  </w:divBdr>
                                                                  <w:divsChild>
                                                                    <w:div w:id="1770542309">
                                                                      <w:marLeft w:val="0"/>
                                                                      <w:marRight w:val="0"/>
                                                                      <w:marTop w:val="0"/>
                                                                      <w:marBottom w:val="0"/>
                                                                      <w:divBdr>
                                                                        <w:top w:val="none" w:sz="0" w:space="0" w:color="auto"/>
                                                                        <w:left w:val="none" w:sz="0" w:space="0" w:color="auto"/>
                                                                        <w:bottom w:val="none" w:sz="0" w:space="0" w:color="auto"/>
                                                                        <w:right w:val="none" w:sz="0" w:space="0" w:color="auto"/>
                                                                      </w:divBdr>
                                                                      <w:divsChild>
                                                                        <w:div w:id="1770542298">
                                                                          <w:marLeft w:val="0"/>
                                                                          <w:marRight w:val="0"/>
                                                                          <w:marTop w:val="0"/>
                                                                          <w:marBottom w:val="0"/>
                                                                          <w:divBdr>
                                                                            <w:top w:val="none" w:sz="0" w:space="0" w:color="auto"/>
                                                                            <w:left w:val="none" w:sz="0" w:space="0" w:color="auto"/>
                                                                            <w:bottom w:val="none" w:sz="0" w:space="0" w:color="auto"/>
                                                                            <w:right w:val="none" w:sz="0" w:space="0" w:color="auto"/>
                                                                          </w:divBdr>
                                                                          <w:divsChild>
                                                                            <w:div w:id="1770542292">
                                                                              <w:marLeft w:val="0"/>
                                                                              <w:marRight w:val="0"/>
                                                                              <w:marTop w:val="0"/>
                                                                              <w:marBottom w:val="0"/>
                                                                              <w:divBdr>
                                                                                <w:top w:val="none" w:sz="0" w:space="0" w:color="auto"/>
                                                                                <w:left w:val="none" w:sz="0" w:space="0" w:color="auto"/>
                                                                                <w:bottom w:val="none" w:sz="0" w:space="0" w:color="auto"/>
                                                                                <w:right w:val="none" w:sz="0" w:space="0" w:color="auto"/>
                                                                              </w:divBdr>
                                                                              <w:divsChild>
                                                                                <w:div w:id="1770542319">
                                                                                  <w:marLeft w:val="0"/>
                                                                                  <w:marRight w:val="0"/>
                                                                                  <w:marTop w:val="0"/>
                                                                                  <w:marBottom w:val="0"/>
                                                                                  <w:divBdr>
                                                                                    <w:top w:val="none" w:sz="0" w:space="0" w:color="auto"/>
                                                                                    <w:left w:val="none" w:sz="0" w:space="0" w:color="auto"/>
                                                                                    <w:bottom w:val="none" w:sz="0" w:space="0" w:color="auto"/>
                                                                                    <w:right w:val="none" w:sz="0" w:space="0" w:color="auto"/>
                                                                                  </w:divBdr>
                                                                                  <w:divsChild>
                                                                                    <w:div w:id="1770542327">
                                                                                      <w:marLeft w:val="0"/>
                                                                                      <w:marRight w:val="0"/>
                                                                                      <w:marTop w:val="0"/>
                                                                                      <w:marBottom w:val="0"/>
                                                                                      <w:divBdr>
                                                                                        <w:top w:val="none" w:sz="0" w:space="0" w:color="auto"/>
                                                                                        <w:left w:val="none" w:sz="0" w:space="0" w:color="auto"/>
                                                                                        <w:bottom w:val="none" w:sz="0" w:space="0" w:color="auto"/>
                                                                                        <w:right w:val="none" w:sz="0" w:space="0" w:color="auto"/>
                                                                                      </w:divBdr>
                                                                                      <w:divsChild>
                                                                                        <w:div w:id="17705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542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ma.europa.eu/en/ich-e2f-development-safety-update-report-scientific-guideline" TargetMode="External"/><Relationship Id="rId2" Type="http://schemas.openxmlformats.org/officeDocument/2006/relationships/hyperlink" Target="https://www.ema.europa.eu/medicines?search_api_views_fulltext=" TargetMode="External"/><Relationship Id="rId1" Type="http://schemas.openxmlformats.org/officeDocument/2006/relationships/hyperlink" Target="https://health.ec.europa.eu/medicinal-products/eudralex/eudralex-volume-10_e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561FF-0EA3-4F45-B594-85F5064B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2778</Words>
  <Characters>17809</Characters>
  <Application>Microsoft Office Word</Application>
  <DocSecurity>0</DocSecurity>
  <Lines>593</Lines>
  <Paragraphs>311</Paragraphs>
  <ScaleCrop>false</ScaleCrop>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Koivumäki Paula</dc:creator>
  <cp:keywords/>
  <dc:description/>
  <cp:lastModifiedBy>Koivumäki Paula</cp:lastModifiedBy>
  <cp:revision>2</cp:revision>
  <dcterms:created xsi:type="dcterms:W3CDTF">2025-10-29T11:15:00Z</dcterms:created>
  <dcterms:modified xsi:type="dcterms:W3CDTF">2025-10-29T11:15:00Z</dcterms:modified>
</cp:coreProperties>
</file>